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2,133,861.00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2,133,861.00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2,133,861.00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beneficial ownership calculation relies on the 33,274,561 outstanding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disclosed in the Form DEFA14A by the issuer on October 19, 2026, which reports share totals as of September 28,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Jasper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2200 BRIDGE PKWY SUITE #102, REDWOOD CITY, CALIFORNIA, 94065.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Voting Common Stock</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840"/>
          </w:cols>
          <w:pgMar w:left="320" w:top="102" w:right="739" w:bottom="0" w:gutter="0" w:footer="0" w:header="0"/>
        </w:sectPr>
      </w:pPr>
    </w:p>
    <w:bookmarkStart w:id="2" w:name="page3"/>
    <w:bookmarkEnd w:id="2"/>
    <w:p>
      <w:pPr>
        <w:spacing w:after="0" w:line="43" w:lineRule="exact"/>
        <w:rPr>
          <w:sz w:val="20"/>
          <w:szCs w:val="20"/>
          <w:color w:val="auto"/>
        </w:rPr>
      </w:pPr>
    </w:p>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2,133,861.00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2,133,861.00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2,133,861.00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and Merrill Lynch International, a non-U.S. institution in accordance with section 240.13d-1(b)(1)(ii)(J).</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1"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81" w:orient="portrait"/>
          <w:cols w:equalWidth="0" w:num="1">
            <w:col w:w="11140"/>
          </w:cols>
          <w:pgMar w:left="360" w:top="126" w:right="399" w:bottom="0" w:gutter="0" w:footer="0" w:header="0"/>
          <w:type w:val="continuous"/>
        </w:sectPr>
      </w:pPr>
    </w:p>
    <w:bookmarkStart w:id="3" w:name="page4"/>
    <w:bookmarkEnd w:id="3"/>
    <w:p>
      <w:pPr>
        <w:ind w:left="2180"/>
        <w:spacing w:after="0"/>
        <w:rPr>
          <w:sz w:val="20"/>
          <w:szCs w:val="20"/>
          <w:color w:val="auto"/>
        </w:rPr>
      </w:pPr>
      <w:r>
        <w:rPr>
          <w:rFonts w:ascii="Times New Roman" w:cs="Times New Roman" w:eastAsia="Times New Roman" w:hAnsi="Times New Roman"/>
          <w:sz w:val="21"/>
          <w:szCs w:val="21"/>
          <w:color w:val="auto"/>
        </w:rPr>
        <w:t>BANK OF AMERICA CORP /DE/</w:t>
      </w:r>
    </w:p>
    <w:p>
      <w:pPr>
        <w:spacing w:after="0" w:line="16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2026-10-28T13:22:20Z</dcterms:created>
  <dcterms:modified xsi:type="dcterms:W3CDTF">2026-10-28T13:22:20Z</dcterms:modified>
</cp:coreProperties>
</file>