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Shizuru Judith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JASPER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Jasper Therapeutics, Inc.</w:t>
              </w:r>
            </w:hyperlink>
            <w:r>
              <w:rPr/>
              <w:t xml:space="preserve"> [ </w:t>
            </w:r>
            <w:r>
              <w:rPr>
                <w:rFonts w:ascii="Times;serif" w:hAnsi="Times;serif"/>
                <w:color w:val="0000FF"/>
                <w:sz w:val="24"/>
                <w:shd w:fill="FFFFFF" w:val="clear"/>
              </w:rPr>
              <w:t>JSPR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07/31/2027</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07/31/2036</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automatically pursuant to the Issuer's Non-Employee Director Compensation Policy, which provides that non-employee directors are automatically granted an option to purchase 7,500 shares on the date of each of the Issuer's annual meeting of stockholders, which shall vest in full upon the first anniversary of the date of the grant, subject to the director's continued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Herb Cross,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000" TargetMode="External"/><Relationship Id="rId5" Type="http://schemas.openxmlformats.org/officeDocument/2006/relationships/hyperlink" Target="http://www.sec.gov/cgi-bin/browse-edgar?action=getcompany&amp;CIK=00017880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3504</Characters>
  <CharactersWithSpaces>4071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