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Crutcher Patrick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JASPER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BRIDGE PKWY, SUITE #102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Jasper Therapeutics, Inc.</w:t>
              </w:r>
            </w:hyperlink>
            <w:r>
              <w:rPr/>
              <w:t xml:space="preserve"> [ </w:t>
            </w:r>
            <w:r>
              <w:rPr>
                <w:rFonts w:ascii="Times;serif" w:hAnsi="Times;serif"/>
                <w:color w:val="0000FF"/>
                <w:sz w:val="24"/>
                <w:shd w:fill="FFFFFF" w:val="clear"/>
              </w:rPr>
              <w:t>JSPR</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0.63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07/31/2027</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07/31/2036</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Voting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automatically pursuant to the Issuer's Non-Employee Director Compensation Policy, which provides that non-employee directors are automatically granted an option to purchase 7,500 shares on the date of each of the Issuer's annual meeting of stockholders, which shall vest in full upon the first anniversary of the date of the grant, subject to the director's continued service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Herb Cross,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059603ex24.htm"/>
      <w:bookmarkStart w:id="3" w:name="ksea030059603ex24"/>
      <w:bookmarkEnd w:id="2"/>
      <w:bookmarkEnd w:id="3"/>
      <w:r>
        <w:rPr>
          <w:rFonts w:ascii="Times New Roman;Times;Serif" w:hAnsi="Times New Roman;Times;Serif"/>
          <w:b/>
          <w:i w:val="false"/>
          <w:caps w:val="false"/>
          <w:smallCaps w:val="false"/>
          <w:sz w:val="20"/>
        </w:rPr>
        <w:t>Exhibit 24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makes, constitutes and appoints each of Herb Cross and Jeetinder Singh Mahal (also known as Jeet Mahal), or either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Jasper Therapeutics, Inc. (the “Company”),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Submit and file SEC Filings with the SEC utilizing the EDGAR system or cause them to be submitted and filed by a person appointed under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File, submit or otherwise deliver SEC Filings to any securities exchange on which the Company’s securities may be listed or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Power of Attorney authorizes, but does not require, the Attorney-in-Fact to act in his or her discretion on information provided to such Attorney-in-Fact without independent verification of such information;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 to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Power of Attorney as of July 21, 2026.</w:t>
      </w:r>
    </w:p>
    <w:p>
      <w:pPr>
        <w:pStyle w:val="TextBody"/>
        <w:bidi w:val="0"/>
        <w:spacing w:before="0" w:after="0"/>
        <w:ind w:left="0" w:right="0" w:hanging="0"/>
        <w:jc w:val="left"/>
        <w:rPr>
          <w:caps w:val="false"/>
          <w:smallCaps w:val="false"/>
        </w:rPr>
      </w:pPr>
      <w:r>
        <w:rPr>
          <w:caps w:val="false"/>
          <w:smallCaps w:val="false"/>
        </w:rPr>
        <w:t> </w:t>
      </w:r>
    </w:p>
    <w:tbl>
      <w:tblPr>
        <w:tblW w:w="1730" w:type="dxa"/>
        <w:jc w:val="left"/>
        <w:tblInd w:w="0" w:type="dxa"/>
        <w:tblLayout w:type="fixed"/>
        <w:tblCellMar>
          <w:top w:w="0" w:type="dxa"/>
          <w:left w:w="0" w:type="dxa"/>
          <w:bottom w:w="28" w:type="dxa"/>
          <w:right w:w="0" w:type="dxa"/>
        </w:tblCellMar>
      </w:tblPr>
      <w:tblGrid>
        <w:gridCol w:w="1655"/>
        <w:gridCol w:w="75"/>
      </w:tblGrid>
      <w:tr>
        <w:trPr/>
        <w:tc>
          <w:tcPr>
            <w:tcW w:w="1655" w:type="dxa"/>
            <w:tcBorders>
              <w:bottom w:val="single" w:sz="12" w:space="0" w:color="000000"/>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Patrick Crutcher</w:t>
            </w:r>
          </w:p>
        </w:tc>
        <w:tc>
          <w:tcPr>
            <w:tcW w:w="75" w:type="dxa"/>
            <w:tcBorders/>
            <w:tcMar>
              <w:bottom w:w="0" w:type="dxa"/>
            </w:tcMar>
            <w:vAlign w:val="center"/>
          </w:tcPr>
          <w:p>
            <w:pPr>
              <w:pStyle w:val="TableContents"/>
              <w:bidi w:val="0"/>
              <w:spacing w:before="0" w:after="283"/>
              <w:jc w:val="left"/>
              <w:rPr/>
            </w:pPr>
            <w:r>
              <w:rPr/>
              <w:t> </w:t>
            </w:r>
          </w:p>
        </w:tc>
      </w:tr>
      <w:tr>
        <w:trPr/>
        <w:tc>
          <w:tcPr>
            <w:tcW w:w="16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Patrick Crutcher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4540" TargetMode="External"/><Relationship Id="rId5" Type="http://schemas.openxmlformats.org/officeDocument/2006/relationships/hyperlink" Target="http://www.sec.gov/cgi-bin/browse-edgar?action=getcompany&amp;CIK=00017880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1536</Words>
  <Characters>8351</Characters>
  <CharactersWithSpaces>9826</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