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602-8ka2_jasper.htm"/>
      <w:bookmarkStart w:id="1" w:name="ksea03076028ka2_jasp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716__20"/>
      <w:bookmarkEnd w:id="2"/>
      <w:r>
        <w:rPr>
          <w:rFonts w:ascii="Times New Roman;Times;Serif" w:hAnsi="Times New Roman;Times;Serif"/>
          <w:b/>
          <w:i w:val="false"/>
          <w:caps w:val="false"/>
          <w:smallCaps w:val="false"/>
          <w:sz w:val="20"/>
        </w:rPr>
        <w:t>8-K/A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July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200" w:type="dxa"/>
        <w:jc w:val="left"/>
        <w:tblInd w:w="0" w:type="dxa"/>
        <w:tblLayout w:type="fixed"/>
        <w:tblCellMar>
          <w:top w:w="0" w:type="dxa"/>
          <w:left w:w="0" w:type="dxa"/>
          <w:bottom w:w="28" w:type="dxa"/>
          <w:right w:w="0" w:type="dxa"/>
        </w:tblCellMar>
      </w:tblPr>
      <w:tblGrid>
        <w:gridCol w:w="2690"/>
        <w:gridCol w:w="60"/>
        <w:gridCol w:w="2630"/>
        <w:gridCol w:w="60"/>
        <w:gridCol w:w="1760"/>
      </w:tblGrid>
      <w:tr>
        <w:trPr/>
        <w:tc>
          <w:tcPr>
            <w:tcW w:w="2690" w:type="dxa"/>
            <w:tcBorders>
              <w:bottom w:val="single" w:sz="12" w:space="0" w:color="000000"/>
            </w:tcBorders>
            <w:vAlign w:val="center"/>
          </w:tcPr>
          <w:p>
            <w:pPr>
              <w:pStyle w:val="TableContents"/>
              <w:bidi w:val="0"/>
              <w:spacing w:before="0" w:after="283"/>
              <w:jc w:val="center"/>
              <w:rPr/>
            </w:pPr>
            <w:bookmarkStart w:id="5" w:name="xdx_902_edei--EntityIncorporationStateCo"/>
            <w:bookmarkEnd w:id="5"/>
            <w:r>
              <w:rPr/>
              <w:t>Delaware</w:t>
            </w:r>
          </w:p>
        </w:tc>
        <w:tc>
          <w:tcPr>
            <w:tcW w:w="60" w:type="dxa"/>
            <w:tcBorders/>
            <w:tcMar>
              <w:bottom w:w="0" w:type="dxa"/>
            </w:tcMar>
            <w:vAlign w:val="center"/>
          </w:tcPr>
          <w:p>
            <w:pPr>
              <w:pStyle w:val="TableContents"/>
              <w:bidi w:val="0"/>
              <w:spacing w:before="0" w:after="283"/>
              <w:jc w:val="left"/>
              <w:rPr/>
            </w:pPr>
            <w:r>
              <w:rPr/>
              <w:t> </w:t>
            </w:r>
          </w:p>
        </w:tc>
        <w:tc>
          <w:tcPr>
            <w:tcW w:w="2630" w:type="dxa"/>
            <w:tcBorders>
              <w:bottom w:val="single" w:sz="12" w:space="0" w:color="000000"/>
            </w:tcBorders>
            <w:vAlign w:val="center"/>
          </w:tcPr>
          <w:p>
            <w:pPr>
              <w:pStyle w:val="TableContents"/>
              <w:bidi w:val="0"/>
              <w:spacing w:before="0" w:after="283"/>
              <w:jc w:val="center"/>
              <w:rPr/>
            </w:pPr>
            <w:bookmarkStart w:id="6" w:name="xdx_906_edei--EntityFileNumber_c20260716"/>
            <w:bookmarkEnd w:id="6"/>
            <w:r>
              <w:rPr/>
              <w:t>001-39138</w:t>
            </w:r>
          </w:p>
        </w:tc>
        <w:tc>
          <w:tcPr>
            <w:tcW w:w="60" w:type="dxa"/>
            <w:tcBorders/>
            <w:tcMar>
              <w:bottom w:w="0" w:type="dxa"/>
            </w:tcMar>
            <w:vAlign w:val="center"/>
          </w:tcPr>
          <w:p>
            <w:pPr>
              <w:pStyle w:val="TableContents"/>
              <w:bidi w:val="0"/>
              <w:spacing w:before="0" w:after="283"/>
              <w:jc w:val="left"/>
              <w:rPr/>
            </w:pPr>
            <w:r>
              <w:rPr/>
              <w:t> </w:t>
            </w:r>
          </w:p>
        </w:tc>
        <w:tc>
          <w:tcPr>
            <w:tcW w:w="1760" w:type="dxa"/>
            <w:tcBorders>
              <w:bottom w:val="single" w:sz="12" w:space="0" w:color="000000"/>
            </w:tcBorders>
            <w:vAlign w:val="center"/>
          </w:tcPr>
          <w:p>
            <w:pPr>
              <w:pStyle w:val="TableContents"/>
              <w:bidi w:val="0"/>
              <w:spacing w:before="0" w:after="283"/>
              <w:jc w:val="center"/>
              <w:rPr/>
            </w:pPr>
            <w:bookmarkStart w:id="7" w:name="xdx_902_edei--EntityTaxIdentificationNum"/>
            <w:bookmarkEnd w:id="7"/>
            <w:r>
              <w:rPr/>
              <w:t>84-2984849</w:t>
            </w:r>
          </w:p>
        </w:tc>
      </w:tr>
      <w:tr>
        <w:trPr/>
        <w:tc>
          <w:tcPr>
            <w:tcW w:w="2690" w:type="dxa"/>
            <w:tcBorders/>
            <w:tcMar>
              <w:bottom w:w="0" w:type="dxa"/>
            </w:tcMar>
            <w:vAlign w:val="center"/>
          </w:tcPr>
          <w:p>
            <w:pPr>
              <w:pStyle w:val="TableContents"/>
              <w:bidi w:val="0"/>
              <w:spacing w:before="0" w:after="283"/>
              <w:jc w:val="center"/>
              <w:rPr>
                <w:i/>
              </w:rPr>
            </w:pPr>
            <w:r>
              <w:rPr>
                <w:i/>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630" w:type="dxa"/>
            <w:tcBorders/>
            <w:tcMar>
              <w:bottom w:w="0" w:type="dxa"/>
            </w:tcMar>
            <w:vAlign w:val="center"/>
          </w:tcPr>
          <w:p>
            <w:pPr>
              <w:pStyle w:val="TableContents"/>
              <w:bidi w:val="0"/>
              <w:spacing w:before="0" w:after="283"/>
              <w:jc w:val="center"/>
              <w:rPr>
                <w:i/>
              </w:rPr>
            </w:pPr>
            <w:r>
              <w:rPr>
                <w:i/>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center"/>
              <w:rPr>
                <w:i/>
              </w:rPr>
            </w:pPr>
            <w:r>
              <w:rPr>
                <w:i/>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F_edei--EntityAddressAddressLine1_"/>
      <w:bookmarkEnd w:id="8"/>
      <w:r>
        <w:rPr>
          <w:rFonts w:ascii="Times New Roman;Times;Serif" w:hAnsi="Times New Roman;Times;Serif"/>
          <w:b w:val="false"/>
          <w:i w:val="false"/>
          <w:caps w:val="false"/>
          <w:smallCaps w:val="false"/>
          <w:sz w:val="20"/>
        </w:rPr>
        <w:t>2200 Bridge Pkwy Suite #102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7_edei--EntityAddressCityOrTown_c2"/>
      <w:bookmarkEnd w:id="9"/>
      <w:r>
        <w:rPr>
          <w:rFonts w:ascii="Times New Roman;Times;Serif" w:hAnsi="Times New Roman;Times;Serif"/>
          <w:b w:val="false"/>
          <w:i w:val="false"/>
          <w:caps w:val="false"/>
          <w:smallCaps w:val="false"/>
          <w:sz w:val="20"/>
        </w:rPr>
        <w:t xml:space="preserve">Redwood City, </w:t>
      </w:r>
      <w:bookmarkStart w:id="10" w:name="xdx_904_edei--EntityAddressStateOrProvin"/>
      <w:bookmarkEnd w:id="10"/>
      <w:r>
        <w:rPr>
          <w:rFonts w:ascii="Times New Roman;Times;Serif" w:hAnsi="Times New Roman;Times;Serif"/>
          <w:b w:val="false"/>
          <w:i w:val="false"/>
          <w:caps w:val="false"/>
          <w:smallCaps w:val="false"/>
          <w:sz w:val="20"/>
        </w:rPr>
        <w:t>CA </w:t>
      </w:r>
      <w:bookmarkStart w:id="11" w:name="xdx_901_edei--EntityAddressPostalZipCode"/>
      <w:bookmarkEnd w:id="11"/>
      <w:r>
        <w:rPr>
          <w:rFonts w:ascii="Times New Roman;Times;Serif" w:hAnsi="Times New Roman;Times;Serif"/>
          <w:b w:val="false"/>
          <w:i w:val="false"/>
          <w:caps w:val="false"/>
          <w:smallCaps w:val="false"/>
          <w:sz w:val="20"/>
        </w:rPr>
        <w:t>94065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 w:name="xdx_903_edei--CityAreaCode_c20260716__20"/>
      <w:bookmarkEnd w:id="12"/>
      <w:r>
        <w:rPr>
          <w:rFonts w:ascii="Times New Roman;Times;Serif" w:hAnsi="Times New Roman;Times;Serif"/>
          <w:b w:val="false"/>
          <w:i w:val="false"/>
          <w:caps w:val="false"/>
          <w:smallCaps w:val="false"/>
          <w:sz w:val="20"/>
        </w:rPr>
        <w:t xml:space="preserve">650) </w:t>
      </w:r>
      <w:bookmarkStart w:id="13" w:name="xdx_90E_edei--LocalPhoneNumber_c20260716"/>
      <w:bookmarkEnd w:id="13"/>
      <w:r>
        <w:rPr>
          <w:rFonts w:ascii="Times New Roman;Times;Serif" w:hAnsi="Times New Roman;Times;Serif"/>
          <w:b w:val="false"/>
          <w:i w:val="false"/>
          <w:caps w:val="false"/>
          <w:smallCaps w:val="false"/>
          <w:sz w:val="20"/>
        </w:rPr>
        <w:t>549-1400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E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344"/>
        <w:gridCol w:w="60"/>
        <w:gridCol w:w="1757"/>
        <w:gridCol w:w="60"/>
        <w:gridCol w:w="3984"/>
      </w:tblGrid>
      <w:tr>
        <w:trPr/>
        <w:tc>
          <w:tcPr>
            <w:tcW w:w="4344"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757"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398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344" w:type="dxa"/>
            <w:tcBorders/>
            <w:shd w:fill="CCEEFF" w:val="clear"/>
            <w:tcMar>
              <w:bottom w:w="0" w:type="dxa"/>
            </w:tcMar>
            <w:vAlign w:val="center"/>
          </w:tcPr>
          <w:p>
            <w:pPr>
              <w:pStyle w:val="TableContents"/>
              <w:bidi w:val="0"/>
              <w:spacing w:before="0" w:after="283"/>
              <w:jc w:val="center"/>
              <w:rPr/>
            </w:pPr>
            <w:bookmarkStart w:id="18" w:name="xdx_90A_edei--Security12bTitle_c20260716"/>
            <w:bookmarkEnd w:id="18"/>
            <w:r>
              <w:rPr/>
              <w:t>Voting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757" w:type="dxa"/>
            <w:tcBorders/>
            <w:shd w:fill="CCEEFF" w:val="clear"/>
            <w:tcMar>
              <w:bottom w:w="0" w:type="dxa"/>
            </w:tcMar>
            <w:vAlign w:val="center"/>
          </w:tcPr>
          <w:p>
            <w:pPr>
              <w:pStyle w:val="TableContents"/>
              <w:bidi w:val="0"/>
              <w:spacing w:before="0" w:after="283"/>
              <w:jc w:val="center"/>
              <w:rPr/>
            </w:pPr>
            <w:bookmarkStart w:id="19" w:name="xdx_903_edei--TradingSymbol_c20260716__2"/>
            <w:bookmarkEnd w:id="19"/>
            <w:r>
              <w:rPr/>
              <w:t>JSPR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984" w:type="dxa"/>
            <w:tcBorders/>
            <w:shd w:fill="CCEEFF" w:val="clear"/>
            <w:tcMar>
              <w:bottom w:w="0" w:type="dxa"/>
            </w:tcMar>
            <w:vAlign w:val="center"/>
          </w:tcPr>
          <w:p>
            <w:pPr>
              <w:pStyle w:val="TableContents"/>
              <w:bidi w:val="0"/>
              <w:spacing w:before="0" w:after="283"/>
              <w:jc w:val="center"/>
              <w:rPr/>
            </w:pPr>
            <w:r>
              <w:rPr/>
              <w:t xml:space="preserve">The </w:t>
            </w:r>
            <w:bookmarkStart w:id="20" w:name="xdx_902_edei--SecurityExchangeName_c2026"/>
            <w:bookmarkEnd w:id="20"/>
            <w:r>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Jasper Therapeutics, Inc. (the “Company” or “Jasper”) filed a Current Report on Form 8-K (the “Original Form 8-K”) reporting that, on the same date, the Company completed its acquisition (the “Merger”) of Kira Pharmaceuticals (“Kira”), a Cayman Islands exempted company, pursuant to the terms of the Agreement and Plan of Merger, dated July 16, 2026 (the “Merger Agreement”), by and among the Company, Kira Holdco Inc., a Delaware corporation and a wholly owned subsidiary of the Company (“Merger Sub”), and Kira. Pursuant to the Merger Agreement, Kira merged with and into Merger Sub, with Merger Sub continuing as the surviving corporation and a wholly owned subsidiary of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the Company filed Amendment No. 1 to the Original Form 8-K (“Amendment No. 1”) on Form 8-K/A to amend and supplement Item 9.01 of the Original Form 8-K to include the financial statements and unaudited pro forma financial information required by Items 9.01(a) and (b) of Form 8-K, which were not included in the Original Form 8-K. Due to a clerical error, Amendment No. 1 inadvertently included an incomplete version of Exhibit 99.3.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8-K/A (“Amendment No. 2”) amends Item 9.01 of the Original Form 8-K, as amended by Amendment No. 1, solely to refile Exhibit 99.3 in its entirety. Except as described above, Amendment No. 2 does not amend, update or otherwise modify any other information set forth in Amendment No. 1 or the Original 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of Business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and accompanying notes of Kira Pharmaceuticals as of and for the fiscal years ended December 31, 2025 and 2024 are filed as Exhibit 99.1 to this Current Report on Form 8-K/A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financial statements and accompanying notes of Kira Pharmaceuticals as of and for the six months ended June 30, 2026 and 2025 are filed as Exhibit 99.2 to this Current Report on Form 8-K/A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i w:val="false"/>
          <w:caps w:val="false"/>
          <w:smallCaps w:val="false"/>
          <w:sz w:val="20"/>
        </w:rPr>
        <w:t>(b) 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2026, the unaudited pro forma condensed combined statement of operations for the six months ended June 30, 2026, the unaudited pro forma condensed combined statement of operations for the year ended December 31, 2025, and the related notes of Jasper Therapeutics, Inc. with respect to the Merger, the concurrent private placement of non-voting convertible preferred stock (the “Financing”), the distribution of contingent value rights and the Mirador License Agreement (as defined in Exhibit 99.3), are filed as Exhibit 99.3 to this Current Report on Form 8-K/A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9"/>
        <w:gridCol w:w="60"/>
        <w:gridCol w:w="9226"/>
      </w:tblGrid>
      <w:tr>
        <w:trPr/>
        <w:tc>
          <w:tcPr>
            <w:tcW w:w="919"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226"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919" w:type="dxa"/>
            <w:tcBorders/>
            <w:shd w:fill="CCEEFF" w:val="clear"/>
            <w:tcMar>
              <w:bottom w:w="0" w:type="dxa"/>
            </w:tcMar>
            <w:vAlign w:val="center"/>
          </w:tcPr>
          <w:p>
            <w:pPr>
              <w:pStyle w:val="TableContents"/>
              <w:bidi w:val="0"/>
              <w:spacing w:before="0" w:after="283"/>
              <w:jc w:val="left"/>
              <w:rPr/>
            </w:pPr>
            <w:r>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26" w:type="dxa"/>
            <w:tcBorders/>
            <w:shd w:fill="CCEEFF" w:val="clear"/>
            <w:tcMar>
              <w:bottom w:w="0" w:type="dxa"/>
            </w:tcMar>
            <w:vAlign w:val="center"/>
          </w:tcPr>
          <w:p>
            <w:pPr>
              <w:pStyle w:val="TableContents"/>
              <w:bidi w:val="0"/>
              <w:spacing w:before="0" w:after="283"/>
              <w:jc w:val="both"/>
              <w:rPr/>
            </w:pPr>
            <w:hyperlink r:id="rId2">
              <w:r>
                <w:rPr>
                  <w:rStyle w:val="InternetLink"/>
                </w:rPr>
                <w:t>Consent of EisnerAmper LLP, independent auditors of Kira Pharmaceuticals (incorporated by reference to Exhibit 23.1 to Amendment No. 1 of the Company's Current Report on Form 8-K, filed on October 1, 2026).</w:t>
              </w:r>
            </w:hyperlink>
          </w:p>
        </w:tc>
      </w:tr>
      <w:tr>
        <w:trPr/>
        <w:tc>
          <w:tcPr>
            <w:tcW w:w="919" w:type="dxa"/>
            <w:tcBorders/>
            <w:shd w:fill="FFFFFF" w:val="clear"/>
            <w:tcMar>
              <w:bottom w:w="0" w:type="dxa"/>
            </w:tcMar>
            <w:vAlign w:val="center"/>
          </w:tcPr>
          <w:p>
            <w:pPr>
              <w:pStyle w:val="TableContents"/>
              <w:bidi w:val="0"/>
              <w:spacing w:before="0" w:after="283"/>
              <w:jc w:val="left"/>
              <w:rPr/>
            </w:pPr>
            <w:r>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26" w:type="dxa"/>
            <w:tcBorders/>
            <w:shd w:fill="FFFFFF" w:val="clear"/>
            <w:tcMar>
              <w:bottom w:w="0" w:type="dxa"/>
            </w:tcMar>
            <w:vAlign w:val="center"/>
          </w:tcPr>
          <w:p>
            <w:pPr>
              <w:pStyle w:val="TableContents"/>
              <w:bidi w:val="0"/>
              <w:spacing w:before="0" w:after="283"/>
              <w:jc w:val="both"/>
              <w:rPr/>
            </w:pPr>
            <w:hyperlink r:id="rId3">
              <w:r>
                <w:rPr>
                  <w:rStyle w:val="InternetLink"/>
                </w:rPr>
                <w:t>Audited financial statements of Kira Pharmaceuticals as of December 31, 2025 and 2024 and for the years then ended (incorporated by reference to Exhibit 99.1 to Amendment No. 1 of the Company's Current Report on Form 8-K, filed on October 1, 2026).</w:t>
              </w:r>
            </w:hyperlink>
          </w:p>
        </w:tc>
      </w:tr>
      <w:tr>
        <w:trPr/>
        <w:tc>
          <w:tcPr>
            <w:tcW w:w="919" w:type="dxa"/>
            <w:tcBorders/>
            <w:shd w:fill="CCEEFF" w:val="clear"/>
            <w:tcMar>
              <w:bottom w:w="0" w:type="dxa"/>
            </w:tcMar>
            <w:vAlign w:val="center"/>
          </w:tcPr>
          <w:p>
            <w:pPr>
              <w:pStyle w:val="TableContents"/>
              <w:bidi w:val="0"/>
              <w:spacing w:before="0" w:after="283"/>
              <w:jc w:val="left"/>
              <w:rPr/>
            </w:pPr>
            <w:r>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26" w:type="dxa"/>
            <w:tcBorders/>
            <w:shd w:fill="CCEEFF" w:val="clear"/>
            <w:tcMar>
              <w:bottom w:w="0" w:type="dxa"/>
            </w:tcMar>
            <w:vAlign w:val="center"/>
          </w:tcPr>
          <w:p>
            <w:pPr>
              <w:pStyle w:val="TableContents"/>
              <w:bidi w:val="0"/>
              <w:spacing w:before="0" w:after="283"/>
              <w:jc w:val="both"/>
              <w:rPr/>
            </w:pPr>
            <w:hyperlink r:id="rId4">
              <w:r>
                <w:rPr>
                  <w:rStyle w:val="InternetLink"/>
                </w:rPr>
                <w:t>Unaudited financial statements of Kira Pharmaceuticals as of June 30, 2026 and for the six months ended June 30, 2026 and 2025 (incorporated by reference to Exhibit 99.1 to Amendment No. 1 of the Company's Current Report on Form 8-K, filed on October 1, 2026).</w:t>
              </w:r>
            </w:hyperlink>
          </w:p>
        </w:tc>
      </w:tr>
      <w:tr>
        <w:trPr/>
        <w:tc>
          <w:tcPr>
            <w:tcW w:w="919" w:type="dxa"/>
            <w:tcBorders/>
            <w:shd w:fill="FFFFFF" w:val="clear"/>
            <w:tcMar>
              <w:bottom w:w="0" w:type="dxa"/>
            </w:tcMar>
            <w:vAlign w:val="center"/>
          </w:tcPr>
          <w:p>
            <w:pPr>
              <w:pStyle w:val="TableContents"/>
              <w:bidi w:val="0"/>
              <w:spacing w:before="0" w:after="283"/>
              <w:jc w:val="left"/>
              <w:rPr/>
            </w:pPr>
            <w:r>
              <w:rPr/>
              <w:t>99.3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26" w:type="dxa"/>
            <w:tcBorders/>
            <w:shd w:fill="FFFFFF" w:val="clear"/>
            <w:tcMar>
              <w:bottom w:w="0" w:type="dxa"/>
            </w:tcMar>
            <w:vAlign w:val="center"/>
          </w:tcPr>
          <w:p>
            <w:pPr>
              <w:pStyle w:val="TableContents"/>
              <w:bidi w:val="0"/>
              <w:spacing w:before="0" w:after="283"/>
              <w:jc w:val="both"/>
              <w:rPr/>
            </w:pPr>
            <w:hyperlink w:anchor="ea030760201ex99-3.htm">
              <w:r>
                <w:rPr>
                  <w:rStyle w:val="InternetLink"/>
                </w:rPr>
                <w:t>Unaudited pro forma condensed combined financial information of Jasper Therapeutics, Inc. as of June 30, 2026, for the six months ended June 30, 2026, and for the year ended December 31, 2025.</w:t>
              </w:r>
            </w:hyperlink>
          </w:p>
        </w:tc>
      </w:tr>
      <w:tr>
        <w:trPr/>
        <w:tc>
          <w:tcPr>
            <w:tcW w:w="919"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26" w:type="dxa"/>
            <w:tcBorders/>
            <w:shd w:fill="CCEEFF" w:val="clear"/>
            <w:tcMar>
              <w:bottom w:w="0" w:type="dxa"/>
            </w:tcMar>
            <w:vAlign w:val="center"/>
          </w:tcPr>
          <w:p>
            <w:pPr>
              <w:pStyle w:val="TableContents"/>
              <w:bidi w:val="0"/>
              <w:spacing w:before="0" w:after="283"/>
              <w:jc w:val="left"/>
              <w:rPr/>
            </w:pPr>
            <w:r>
              <w:rPr/>
              <w:t>The cover page from this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 2026</w:t>
      </w:r>
    </w:p>
    <w:p>
      <w:pPr>
        <w:pStyle w:val="TextBody"/>
        <w:bidi w:val="0"/>
        <w:spacing w:before="0" w:after="0"/>
        <w:ind w:left="0" w:right="0" w:hanging="0"/>
        <w:jc w:val="left"/>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387"/>
        <w:gridCol w:w="723"/>
        <w:gridCol w:w="2253"/>
        <w:gridCol w:w="75"/>
      </w:tblGrid>
      <w:tr>
        <w:trPr/>
        <w:tc>
          <w:tcPr>
            <w:tcW w:w="3363" w:type="dxa"/>
            <w:gridSpan w:val="3"/>
            <w:tcBorders/>
            <w:vAlign w:val="center"/>
          </w:tcPr>
          <w:p>
            <w:pPr>
              <w:pStyle w:val="TableContents"/>
              <w:bidi w:val="0"/>
              <w:spacing w:before="0" w:after="283"/>
              <w:jc w:val="left"/>
              <w:rPr/>
            </w:pPr>
            <w:r>
              <w:rPr/>
              <w:t>JASPER THERAPEUTICS, INC.</w:t>
            </w:r>
          </w:p>
        </w:tc>
        <w:tc>
          <w:tcPr>
            <w:tcW w:w="75" w:type="dxa"/>
            <w:tcBorders/>
            <w:vAlign w:val="center"/>
          </w:tcPr>
          <w:p>
            <w:pPr>
              <w:pStyle w:val="TableContents"/>
              <w:bidi w:val="0"/>
              <w:spacing w:before="0" w:after="283"/>
              <w:jc w:val="left"/>
              <w:rPr/>
            </w:pPr>
            <w:r>
              <w:rPr/>
              <w:t> </w:t>
            </w:r>
          </w:p>
        </w:tc>
      </w:tr>
      <w:tr>
        <w:trPr/>
        <w:tc>
          <w:tcPr>
            <w:tcW w:w="38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22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7" w:type="dxa"/>
            <w:tcBorders/>
            <w:vAlign w:val="center"/>
          </w:tcPr>
          <w:p>
            <w:pPr>
              <w:pStyle w:val="TableContents"/>
              <w:bidi w:val="0"/>
              <w:spacing w:before="0" w:after="283"/>
              <w:jc w:val="left"/>
              <w:rPr/>
            </w:pPr>
            <w:r>
              <w:rPr/>
              <w:t>By:</w:t>
            </w:r>
          </w:p>
        </w:tc>
        <w:tc>
          <w:tcPr>
            <w:tcW w:w="2976" w:type="dxa"/>
            <w:gridSpan w:val="2"/>
            <w:tcBorders>
              <w:bottom w:val="single" w:sz="12" w:space="0" w:color="000000"/>
            </w:tcBorders>
            <w:tcMar>
              <w:bottom w:w="28" w:type="dxa"/>
            </w:tcMar>
            <w:vAlign w:val="center"/>
          </w:tcPr>
          <w:p>
            <w:pPr>
              <w:pStyle w:val="TableContents"/>
              <w:bidi w:val="0"/>
              <w:spacing w:before="0" w:after="283"/>
              <w:jc w:val="left"/>
              <w:rPr/>
            </w:pPr>
            <w:r>
              <w:rPr/>
              <w:t>/s/ Herb Cross</w:t>
            </w:r>
          </w:p>
        </w:tc>
        <w:tc>
          <w:tcPr>
            <w:tcW w:w="75" w:type="dxa"/>
            <w:tcBorders/>
            <w:vAlign w:val="center"/>
          </w:tcPr>
          <w:p>
            <w:pPr>
              <w:pStyle w:val="TableContents"/>
              <w:bidi w:val="0"/>
              <w:spacing w:before="0" w:after="283"/>
              <w:jc w:val="left"/>
              <w:rPr/>
            </w:pPr>
            <w:r>
              <w:rPr/>
              <w:t> </w:t>
            </w:r>
          </w:p>
        </w:tc>
      </w:tr>
      <w:tr>
        <w:trPr/>
        <w:tc>
          <w:tcPr>
            <w:tcW w:w="38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xml:space="preserve">Name: </w:t>
            </w:r>
          </w:p>
        </w:tc>
        <w:tc>
          <w:tcPr>
            <w:tcW w:w="2253" w:type="dxa"/>
            <w:tcBorders/>
            <w:vAlign w:val="center"/>
          </w:tcPr>
          <w:p>
            <w:pPr>
              <w:pStyle w:val="TableContents"/>
              <w:bidi w:val="0"/>
              <w:spacing w:before="0" w:after="283"/>
              <w:jc w:val="left"/>
              <w:rPr/>
            </w:pPr>
            <w:r>
              <w:rPr/>
              <w:t>Herb Cross</w:t>
            </w:r>
          </w:p>
        </w:tc>
        <w:tc>
          <w:tcPr>
            <w:tcW w:w="75" w:type="dxa"/>
            <w:tcBorders/>
            <w:vAlign w:val="center"/>
          </w:tcPr>
          <w:p>
            <w:pPr>
              <w:pStyle w:val="TableContents"/>
              <w:bidi w:val="0"/>
              <w:spacing w:before="0" w:after="283"/>
              <w:jc w:val="left"/>
              <w:rPr/>
            </w:pPr>
            <w:r>
              <w:rPr/>
              <w:t> </w:t>
            </w:r>
          </w:p>
        </w:tc>
      </w:tr>
      <w:tr>
        <w:trPr/>
        <w:tc>
          <w:tcPr>
            <w:tcW w:w="38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Title:</w:t>
            </w:r>
          </w:p>
        </w:tc>
        <w:tc>
          <w:tcPr>
            <w:tcW w:w="2253"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22" w:name="ea030760201ex99-3.htm"/>
      <w:bookmarkStart w:id="23" w:name="ksea030760201ex993"/>
      <w:bookmarkEnd w:id="22"/>
      <w:bookmarkEnd w:id="23"/>
      <w:r>
        <w:rPr>
          <w:b/>
        </w:rPr>
        <w:t>Exhibit 99.3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the Year Ended December 31, 2025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Jasper Therapeutics, Inc. (the “Company” or “Jasper”) acquired Kira Pharmaceuticals (“Kira”), a Cayman Islands exempted company, in accordance with the terms of the Agreement and Plan of Merger (the “Merger Agreement”), by and among the Company, Kira Holdco Inc., a Delaware corporation and a wholly owned subsidiary of the Company (“Merger Sub”), and Kira. Pursuant to the Merger Agreement, Kira merged with and into Merger Sub, with Merger Sub continuing as the surviving corporation and a wholly owned subsidiary of the Company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following the closing of the Merger (the “Closing”), the Company issued to the shareholders of Kira an aggregate of (i) 5,195,009 shares (the “Merger Shares”) of voting common stock of the Company, par value $0.0001 per share (the “Common Stock”), and (ii) 4,644,977 shares of non-voting convertible preferred stock of the Company, par value $0.0001 per share (the “Preferred Stock”), each share of which is convertible into 61 shares of Common Stock, subject to certain conditions. Additionally, each option to purchase Kira ordinary shares was assumed by the Company and was converted into options to purchase an aggregate of 392,791 shares of Common Stock and an aggregate of 351,201 shares of Preferred Stock. Additionally, a total of 254,462 shares of Preferred Stock were issued to the holders of Company SAFEs (as defined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the Company entered into a Securities Purchase Agreement (the “Purchase Agreement”) pursuant to which the Company agreed to sell an aggregate of 4,655,951 shares of Preferred Stock (the “PIPE Securities”) for an aggregate purchase price of approximately $132.0 million (the “Financing”). The Financing closed on July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the Purchase Agreement, the Company will hold a shareholders’ meeting to submit the following matters to its shareholders for their consideration:   (i) the approval, in accordance with the rules of The Nasdaq Stock Market LLC, of the conversion of the Preferred Stock issued pursuant to the Merger Agreement and to be issued pursuant to the Purchase Agreement into shares of Common Stock (the “Conversion Proposal”), (ii) the ratification of the appointment of Patrick Crutcher to the Board of Directors of the Company (the “Board”), and (iii) the approval of an amendment to the Certificate of Incorporation to increase the number of authorized shares of Common Stock by an amount sufficient to permit the conversion of all Preferred Stock and PIPE Securities issued or reserved for issuance pursuant to the Merger Agreement and the Purchase Agreement, respectively, into Common Stock in accordance with the terms of the Certificate of Designation (as defined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Purchase Agreement, the Company entered into a Registration Rights Agreement with the Investors, pursuant to which the Company is required to file a resale registration statement with respect to the shares of Common Stock issuable upon conversion of the PIPE Securities within 90 calendar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the Company entered into a contingent value rights agreement (the “CVR Agreement”), pursuant to which each holder of Common Stock of record immediately prior to the Closing is entitled to one (1) contractual contingent value right (each, a “CVR”) for each share of Common Stock held. Each CVR entitles the holder to receive a pro-rata portion of $30.0 million if the United States Food and Drug Administration issues a Priority Review Voucher (as defined in the CVR Agreement) in connection with briquilimab on or prior to December 31,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Kira entered into a License Agreement with Mirador Therapeutics, Inc. (“Mirador”), pursuant to which Kira granted Mirador an exclusive, worldwide, royalty-bearing license to KP-301 and KP-402 (the “Mirador License Agreement”). Under the terms of the Mirador License Agreement, Mirador agreed to pay Kira an upfront payment of $12.0 million and a payment of $8.0 million upon delivery of drug substance and compound to Mirador, as well as potential development milestone payments of up to $108.5 million, commercial milestone payments of up to $350.0 million, and tiered royalties. The Mirador License Agreement was entered into in contemplation of the Merger and the Financing, and Mirador participated as an investor in the Financing. The Company acquired the rights and receivables under the Mirador License Agreement as part of the Merger. As the Mirador License Agreement was entered into on July 13, 2026, after the date of the historical Kira balance sheets included in this filing, the pro forma financial information gives effect to the Mirador License Agreement as a transaction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of the Company is presented to illustrate the estimated effects of (1) the Merger, (2) the Financing, (3) the CVR Agreement  and (4) the Mirador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2026 combines the historical consolidated balance sheet of the Company and the historical consolidated balance sheet of Kira, giving effect to the Merger, the Financing, the CVR distribution and the Mirador License Agreement as if they had occurred on June 30, 2026. The unaudited pro forma condensed combined statements of operations for the six months ended June 30, 2026 and the year ended December 31, 2025 combine the historical statements of operations of the Company and Kira, giving effect to the Merger, the Financing, the CVR distribution and the Mirador License Agreement as if they had occurred on January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should be read in conjunction with the following historical consolidated financial statements and notes: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audited consolidated financial statements of the Company as of December 31, 2025 and for the year then ended included in the Annual Report on Form 10-K for the year ended December 31,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unaudited consolidated financial statements of the Company as of and for the six months ended June 30, 2026 included in the Quarterly Report on Form 10-Q for the quarter ended June 30,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audited financial statements of Kira as of December 31, 2025 and 2024 and for the years then ended filed as Exhibit 99.1 to this Current Report on Form 8-K/A;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jc w:val="left"/>
              <w:rPr/>
            </w:pPr>
            <w:r>
              <w:rPr/>
              <w:t>●</w:t>
            </w:r>
          </w:p>
          <w:p>
            <w:pPr>
              <w:pStyle w:val="TableContents"/>
              <w:bidi w:val="0"/>
              <w:spacing w:before="0" w:after="283"/>
              <w:jc w:val="left"/>
              <w:rPr/>
            </w:pPr>
            <w:r>
              <w:rPr/>
              <w:t> </w:t>
            </w:r>
          </w:p>
        </w:tc>
        <w:tc>
          <w:tcPr>
            <w:tcW w:w="9998" w:type="dxa"/>
            <w:tcBorders/>
            <w:vAlign w:val="center"/>
          </w:tcPr>
          <w:p>
            <w:pPr>
              <w:pStyle w:val="TableContents"/>
              <w:bidi w:val="0"/>
              <w:spacing w:before="0" w:after="283"/>
              <w:jc w:val="both"/>
              <w:rPr/>
            </w:pPr>
            <w:r>
              <w:rPr/>
              <w:t>the unaudited financial statements of Kira as of and for the six months ended June 30, 2026 filed as Exhibit 99.2 to this Current Report on Form 8-K/A.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in accordance with Article 11 of Regulation S-X, as amended by the SEC on May 20, 2020, and presents the historical financial position and results of operations of the Company and Kira, adjusted to give effect to (i) the Merger, (ii) the Financing, (iii) the CVR distribution and (iv) the Mirador License Agreement, described in the notes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presented for illustrative and informational purposes only and is based upon available information and assumptions made by management that we believe are reasonable. Actual adjustments may differ materially. The pro forma financial information does not purport to represent what the results of operations would have been had these transactions actually occurred on the dates indicated, nor does it purport to project results for any future period. The pro forma financial information does not give effect to any anticipated synergies, operating efficiencies, tax savings or cost savings.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June 30, 2026</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9"/>
        <w:gridCol w:w="60"/>
        <w:gridCol w:w="140"/>
        <w:gridCol w:w="875"/>
        <w:gridCol w:w="95"/>
        <w:gridCol w:w="60"/>
        <w:gridCol w:w="140"/>
        <w:gridCol w:w="875"/>
        <w:gridCol w:w="95"/>
        <w:gridCol w:w="60"/>
        <w:gridCol w:w="201"/>
        <w:gridCol w:w="1264"/>
        <w:gridCol w:w="95"/>
        <w:gridCol w:w="60"/>
        <w:gridCol w:w="255"/>
        <w:gridCol w:w="1243"/>
        <w:gridCol w:w="60"/>
        <w:gridCol w:w="60"/>
        <w:gridCol w:w="517"/>
        <w:gridCol w:w="60"/>
        <w:gridCol w:w="149"/>
        <w:gridCol w:w="940"/>
        <w:gridCol w:w="82"/>
      </w:tblGrid>
      <w:tr>
        <w:trPr/>
        <w:tc>
          <w:tcPr>
            <w:tcW w:w="28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Jasper</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Kira</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Merger Related Transaction</w:t>
              <w:br/>
              <w:t>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 Transaction Adjustments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7" w:type="dxa"/>
            <w:tcBorders>
              <w:bottom w:val="single" w:sz="12" w:space="0" w:color="000000"/>
            </w:tcBorders>
            <w:tcMar>
              <w:bottom w:w="28" w:type="dxa"/>
            </w:tcMar>
            <w:vAlign w:val="center"/>
          </w:tcPr>
          <w:p>
            <w:pPr>
              <w:pStyle w:val="TableContents"/>
              <w:bidi w:val="0"/>
              <w:spacing w:before="0" w:after="283"/>
              <w:jc w:val="center"/>
              <w:rPr>
                <w:b/>
              </w:rPr>
            </w:pPr>
            <w:r>
              <w:rPr>
                <w:b/>
              </w:rPr>
              <w:t>Note 4</w:t>
            </w:r>
          </w:p>
        </w:tc>
        <w:tc>
          <w:tcPr>
            <w:tcW w:w="60" w:type="dxa"/>
            <w:tcBorders/>
            <w:vAlign w:val="center"/>
          </w:tcPr>
          <w:p>
            <w:pPr>
              <w:pStyle w:val="TableContents"/>
              <w:bidi w:val="0"/>
              <w:spacing w:before="0" w:after="283"/>
              <w:jc w:val="center"/>
              <w:rPr/>
            </w:pPr>
            <w:r>
              <w:rPr/>
              <w:t> </w:t>
            </w:r>
          </w:p>
        </w:tc>
        <w:tc>
          <w:tcPr>
            <w:tcW w:w="10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Combined</w:t>
            </w:r>
          </w:p>
        </w:tc>
        <w:tc>
          <w:tcPr>
            <w:tcW w:w="82" w:type="dxa"/>
            <w:tcBorders/>
            <w:vAlign w:val="center"/>
          </w:tcPr>
          <w:p>
            <w:pPr>
              <w:pStyle w:val="TableContents"/>
              <w:bidi w:val="0"/>
              <w:spacing w:before="0" w:after="283"/>
              <w:ind w:left="0" w:right="0" w:hanging="180"/>
              <w:jc w:val="center"/>
              <w:rPr/>
            </w:pPr>
            <w:r>
              <w:rPr/>
              <w:t> </w:t>
            </w:r>
          </w:p>
        </w:tc>
      </w:tr>
      <w:tr>
        <w:trPr/>
        <w:tc>
          <w:tcPr>
            <w:tcW w:w="2819"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9"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2819"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9"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7,314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124,829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xml:space="preserve">(A)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142,828</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Mirador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xml:space="preserve">(E)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12,000</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Material deliverable to Mirador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7,995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xml:space="preserve">(J)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7,995</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Restricted cash,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417</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4,416</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11,571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11,261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b/>
              </w:rPr>
            </w:pPr>
            <w:r>
              <w:rPr>
                <w:b/>
              </w:rPr>
              <w:t>124,829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19,995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b/>
              </w:rPr>
            </w:pPr>
            <w:r>
              <w:rPr>
                <w:b/>
              </w:rPr>
              <w:t>167,656</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68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153</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394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6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124,829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168,271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b/>
              </w:rPr>
            </w:pPr>
            <w:r>
              <w:rPr>
                <w:b/>
              </w:rPr>
              <w:t>LIABILITIES, MEZZANINE EQUITY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7,010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(K)</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8,375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1,341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(L)</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298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SAFE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7,214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(7,214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(H)</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7,845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12,211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b/>
              </w:rPr>
            </w:pPr>
            <w:r>
              <w:rPr>
                <w:b/>
              </w:rPr>
              <w:t>(5,873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b/>
              </w:rPr>
            </w:pPr>
            <w:r>
              <w:rPr>
                <w:b/>
              </w:rPr>
              <w:t>15,683</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2,544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CVR obligation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(I)</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1,900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1,294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10,389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b/>
              </w:rPr>
            </w:pPr>
            <w:r>
              <w:rPr>
                <w:b/>
              </w:rPr>
              <w:t>(3,973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b/>
              </w:rPr>
            </w:pPr>
            <w:r>
              <w:rPr>
                <w:b/>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b/>
              </w:rPr>
            </w:pPr>
            <w:r>
              <w:rPr>
                <w:b/>
              </w:rPr>
              <w:t>21,421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Convertible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124,829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(A)</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263,742</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120,418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18,495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Options for convertible 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4,654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(G)</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4,654</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b/>
              </w:rPr>
            </w:pPr>
            <w:r>
              <w:rPr>
                <w:b/>
              </w:rPr>
              <w:t>Total Convertible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b/>
              </w:rPr>
            </w:pPr>
            <w:r>
              <w:rPr>
                <w:b/>
              </w:rPr>
              <w:t>249,901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b/>
              </w:rPr>
            </w:pPr>
            <w:r>
              <w:rPr>
                <w:b/>
              </w:rPr>
              <w:t>18,495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b/>
              </w:rPr>
            </w:pPr>
            <w:r>
              <w:rPr>
                <w:b/>
              </w:rPr>
              <w:t>268,396</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b/>
              </w:rPr>
            </w:pPr>
            <w:r>
              <w:rPr>
                <w:b/>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(H)</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(H)</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(C)</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322,014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181,979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(181,979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(H)</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324,219</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(C)</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(1,900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(I)</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(320,604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(184,172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184,172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xml:space="preserve">(H)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(445,769</w:t>
            </w:r>
          </w:p>
        </w:tc>
        <w:tc>
          <w:tcPr>
            <w:tcW w:w="82" w:type="dxa"/>
            <w:tcBorders/>
            <w:shd w:fill="FFFFFF" w:val="clear"/>
            <w:vAlign w:val="center"/>
          </w:tcPr>
          <w:p>
            <w:pPr>
              <w:pStyle w:val="TableContents"/>
              <w:bidi w:val="0"/>
              <w:spacing w:before="0" w:after="283"/>
              <w:ind w:left="0" w:right="0" w:hanging="180"/>
              <w:jc w:val="left"/>
              <w:rPr/>
            </w:pPr>
            <w:r>
              <w:rPr/>
              <w:t>)</w:t>
            </w:r>
          </w:p>
        </w:tc>
      </w:tr>
      <w:tr>
        <w:trPr/>
        <w:tc>
          <w:tcPr>
            <w:tcW w:w="28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(125,165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819"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(H)</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b/>
              </w:rPr>
            </w:pPr>
            <w:r>
              <w:rPr>
                <w:b/>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(1,860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b/>
              </w:rPr>
            </w:pPr>
            <w:r>
              <w:rPr>
                <w:b/>
              </w:rPr>
              <w:t>(121,099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b/>
              </w:rPr>
            </w:pPr>
            <w:r>
              <w:rPr>
                <w:b/>
              </w:rPr>
              <w:t>(121,546</w:t>
            </w:r>
          </w:p>
        </w:tc>
        <w:tc>
          <w:tcPr>
            <w:tcW w:w="82" w:type="dxa"/>
            <w:tcBorders/>
            <w:shd w:fill="CCEEFF" w:val="clear"/>
            <w:vAlign w:val="center"/>
          </w:tcPr>
          <w:p>
            <w:pPr>
              <w:pStyle w:val="TableContents"/>
              <w:bidi w:val="0"/>
              <w:spacing w:before="0" w:after="283"/>
              <w:ind w:left="0" w:right="0" w:hanging="180"/>
              <w:jc w:val="left"/>
              <w:rPr>
                <w:b/>
              </w:rPr>
            </w:pPr>
            <w:r>
              <w:rPr>
                <w:b/>
              </w:rPr>
              <w:t>)</w:t>
            </w:r>
          </w:p>
        </w:tc>
      </w:tr>
      <w:tr>
        <w:trPr/>
        <w:tc>
          <w:tcPr>
            <w:tcW w:w="28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819" w:type="dxa"/>
            <w:tcBorders/>
            <w:shd w:fill="CCEEFF" w:val="clear"/>
            <w:vAlign w:val="center"/>
          </w:tcPr>
          <w:p>
            <w:pPr>
              <w:pStyle w:val="TableContents"/>
              <w:bidi w:val="0"/>
              <w:spacing w:before="0" w:after="283"/>
              <w:jc w:val="left"/>
              <w:rPr>
                <w:b/>
              </w:rPr>
            </w:pPr>
            <w:r>
              <w:rPr>
                <w:b/>
              </w:rPr>
              <w:t>Total liabilities, mezzanine equity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6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124,829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168,271</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Year Ended December 31, 2025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6"/>
        <w:gridCol w:w="60"/>
        <w:gridCol w:w="144"/>
        <w:gridCol w:w="1139"/>
        <w:gridCol w:w="95"/>
        <w:gridCol w:w="60"/>
        <w:gridCol w:w="187"/>
        <w:gridCol w:w="855"/>
        <w:gridCol w:w="95"/>
        <w:gridCol w:w="60"/>
        <w:gridCol w:w="216"/>
        <w:gridCol w:w="1361"/>
        <w:gridCol w:w="95"/>
        <w:gridCol w:w="60"/>
        <w:gridCol w:w="128"/>
        <w:gridCol w:w="1358"/>
        <w:gridCol w:w="95"/>
        <w:gridCol w:w="60"/>
        <w:gridCol w:w="91"/>
        <w:gridCol w:w="424"/>
        <w:gridCol w:w="60"/>
        <w:gridCol w:w="148"/>
        <w:gridCol w:w="1294"/>
        <w:gridCol w:w="84"/>
      </w:tblGrid>
      <w:tr>
        <w:trPr/>
        <w:tc>
          <w:tcPr>
            <w:tcW w:w="2036"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2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Jasper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Kira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Merger Related Transaction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 Transaction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 4</w:t>
            </w:r>
          </w:p>
        </w:tc>
        <w:tc>
          <w:tcPr>
            <w:tcW w:w="60" w:type="dxa"/>
            <w:tcBorders/>
            <w:vAlign w:val="center"/>
          </w:tcPr>
          <w:p>
            <w:pPr>
              <w:pStyle w:val="TableContents"/>
              <w:bidi w:val="0"/>
              <w:spacing w:before="0" w:after="283"/>
              <w:jc w:val="left"/>
              <w:rPr/>
            </w:pPr>
            <w:r>
              <w:rPr/>
              <w:t> </w:t>
            </w:r>
          </w:p>
        </w:tc>
        <w:tc>
          <w:tcPr>
            <w:tcW w:w="14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Combined</w:t>
            </w:r>
          </w:p>
        </w:tc>
        <w:tc>
          <w:tcPr>
            <w:tcW w:w="84" w:type="dxa"/>
            <w:tcBorders/>
            <w:vAlign w:val="center"/>
          </w:tcPr>
          <w:p>
            <w:pPr>
              <w:pStyle w:val="TableContents"/>
              <w:bidi w:val="0"/>
              <w:spacing w:before="0" w:after="283"/>
              <w:ind w:left="0" w:right="0" w:hanging="180"/>
              <w:jc w:val="left"/>
              <w:rPr/>
            </w:pPr>
            <w:r>
              <w:rPr/>
              <w:t> </w:t>
            </w:r>
          </w:p>
        </w:tc>
      </w:tr>
      <w:tr>
        <w:trPr/>
        <w:tc>
          <w:tcPr>
            <w:tcW w:w="2036"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28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pPr>
            <w:r>
              <w:rPr/>
              <w:t>Acquired in-process research and development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361" w:type="dxa"/>
            <w:tcBorders/>
            <w:shd w:fill="CCEEFF" w:val="clear"/>
            <w:vAlign w:val="center"/>
          </w:tcPr>
          <w:p>
            <w:pPr>
              <w:pStyle w:val="TableContents"/>
              <w:bidi w:val="0"/>
              <w:spacing w:before="0" w:after="283"/>
              <w:jc w:val="right"/>
              <w:rPr/>
            </w:pPr>
            <w:r>
              <w:rPr/>
              <w:t>125,165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4" w:type="dxa"/>
            <w:tcBorders/>
            <w:shd w:fill="CCEEFF" w:val="clear"/>
            <w:vAlign w:val="center"/>
          </w:tcPr>
          <w:p>
            <w:pPr>
              <w:pStyle w:val="TableContents"/>
              <w:bidi w:val="0"/>
              <w:spacing w:before="0" w:after="283"/>
              <w:jc w:val="right"/>
              <w:rPr/>
            </w:pPr>
            <w:r>
              <w:rPr/>
              <w:t>126,665</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(K)</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63,104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64,013</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FFFFFF" w:val="clear"/>
            <w:tcMar>
              <w:bottom w:w="28" w:type="dxa"/>
            </w:tcMar>
            <w:vAlign w:val="center"/>
          </w:tcPr>
          <w:p>
            <w:pPr>
              <w:pStyle w:val="TableContents"/>
              <w:bidi w:val="0"/>
              <w:spacing w:before="0" w:after="283"/>
              <w:jc w:val="right"/>
              <w:rPr/>
            </w:pPr>
            <w:r>
              <w:rPr/>
              <w:t>20,779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FFFFFF" w:val="clear"/>
            <w:tcMar>
              <w:bottom w:w="28" w:type="dxa"/>
            </w:tcMar>
            <w:vAlign w:val="center"/>
          </w:tcPr>
          <w:p>
            <w:pPr>
              <w:pStyle w:val="TableContents"/>
              <w:bidi w:val="0"/>
              <w:spacing w:before="0" w:after="283"/>
              <w:jc w:val="right"/>
              <w:rPr/>
            </w:pPr>
            <w:r>
              <w:rPr/>
              <w:t>1,501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22,280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83,883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125,165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35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212,958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b/>
              </w:rPr>
            </w:pPr>
            <w:r>
              <w:rPr>
                <w:b/>
              </w:rPr>
              <w:t>(83,883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b/>
              </w:rPr>
            </w:pPr>
            <w:r>
              <w:rPr>
                <w:b/>
              </w:rPr>
              <w:t>(2,410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b/>
              </w:rPr>
            </w:pPr>
            <w:r>
              <w:rPr>
                <w:b/>
              </w:rPr>
              <w:t>(125,165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b/>
              </w:rPr>
            </w:pPr>
            <w:r>
              <w:rPr>
                <w:b/>
              </w:rPr>
              <w:t>(1,500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b/>
              </w:rPr>
            </w:pPr>
            <w:r>
              <w:rPr>
                <w:b/>
              </w:rPr>
              <w:t>(212,958</w:t>
            </w:r>
          </w:p>
        </w:tc>
        <w:tc>
          <w:tcPr>
            <w:tcW w:w="84" w:type="dxa"/>
            <w:tcBorders/>
            <w:shd w:fill="FFFFFF" w:val="clear"/>
            <w:vAlign w:val="center"/>
          </w:tcPr>
          <w:p>
            <w:pPr>
              <w:pStyle w:val="TableContents"/>
              <w:bidi w:val="0"/>
              <w:spacing w:before="0" w:after="283"/>
              <w:ind w:left="0" w:right="0" w:hanging="180"/>
              <w:jc w:val="left"/>
              <w:rPr>
                <w:b/>
              </w:rPr>
            </w:pPr>
            <w:r>
              <w:rPr>
                <w:b/>
              </w:rPr>
              <w:t>)</w:t>
            </w:r>
          </w:p>
        </w:tc>
      </w:tr>
      <w:tr>
        <w:trPr/>
        <w:tc>
          <w:tcPr>
            <w:tcW w:w="2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pPr>
            <w:r>
              <w:rPr/>
              <w:t>Interest income (expense),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1,741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1,741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8,528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8,528</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pPr>
            <w:r>
              <w:rPr/>
              <w:t>Gain on accounts payable settlement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2,027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Loss from issuance and remeasurement of convertible note at fair value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(3,950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(3,950</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036"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(2,187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(1,967</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036"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FFFFFF" w:val="clear"/>
            <w:tcMar>
              <w:bottom w:w="28" w:type="dxa"/>
            </w:tcMar>
            <w:vAlign w:val="center"/>
          </w:tcPr>
          <w:p>
            <w:pPr>
              <w:pStyle w:val="TableContents"/>
              <w:bidi w:val="0"/>
              <w:spacing w:before="0" w:after="283"/>
              <w:jc w:val="right"/>
              <w:rPr/>
            </w:pPr>
            <w:r>
              <w:rPr/>
              <w:t>(258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(258</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036" w:type="dxa"/>
            <w:tcBorders/>
            <w:shd w:fill="CCEEFF" w:val="clear"/>
            <w:vAlign w:val="center"/>
          </w:tcPr>
          <w:p>
            <w:pPr>
              <w:pStyle w:val="TableContents"/>
              <w:bidi w:val="0"/>
              <w:spacing w:before="0" w:after="283"/>
              <w:jc w:val="left"/>
              <w:rPr>
                <w:b/>
              </w:rPr>
            </w:pPr>
            <w:r>
              <w:rPr>
                <w:b/>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6,121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(75,801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36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(125,165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(206,837)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b/>
              </w:rPr>
            </w:pPr>
            <w:r>
              <w:rPr>
                <w:b/>
              </w:rPr>
              <w:t>Other comprehensive loss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3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036" w:type="dxa"/>
            <w:tcBorders/>
            <w:shd w:fill="FFFFFF" w:val="clear"/>
            <w:vAlign w:val="center"/>
          </w:tcPr>
          <w:p>
            <w:pPr>
              <w:pStyle w:val="TableContents"/>
              <w:bidi w:val="0"/>
              <w:spacing w:before="0" w:after="283"/>
              <w:jc w:val="left"/>
              <w:rPr/>
            </w:pPr>
            <w:r>
              <w:rPr/>
              <w:t>Foreign currency translation adjustment, net of tax</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FFFFFF" w:val="clear"/>
            <w:tcMar>
              <w:bottom w:w="28" w:type="dxa"/>
            </w:tcMar>
            <w:vAlign w:val="center"/>
          </w:tcPr>
          <w:p>
            <w:pPr>
              <w:pStyle w:val="TableContents"/>
              <w:bidi w:val="0"/>
              <w:spacing w:before="0" w:after="283"/>
              <w:jc w:val="right"/>
              <w:rPr/>
            </w:pPr>
            <w:r>
              <w:rPr/>
              <w:t>(416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(416</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036" w:type="dxa"/>
            <w:tcBorders/>
            <w:shd w:fill="CCEEFF" w:val="clear"/>
            <w:vAlign w:val="center"/>
          </w:tcPr>
          <w:p>
            <w:pPr>
              <w:pStyle w:val="TableContents"/>
              <w:bidi w:val="0"/>
              <w:spacing w:before="0" w:after="283"/>
              <w:jc w:val="left"/>
              <w:rPr>
                <w:b/>
              </w:rPr>
            </w:pPr>
            <w:r>
              <w:rPr>
                <w:b/>
              </w:rPr>
              <w:t>Total comprehensive loss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(75,801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(4,787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36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(125,165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(207,253</w:t>
            </w:r>
          </w:p>
        </w:tc>
        <w:tc>
          <w:tcPr>
            <w:tcW w:w="84" w:type="dxa"/>
            <w:tcBorders/>
            <w:shd w:fill="CCEEFF" w:val="clear"/>
            <w:vAlign w:val="center"/>
          </w:tcPr>
          <w:p>
            <w:pPr>
              <w:pStyle w:val="TableContents"/>
              <w:bidi w:val="0"/>
              <w:spacing w:before="0" w:after="283"/>
              <w:ind w:left="0" w:right="0" w:hanging="180"/>
              <w:jc w:val="left"/>
              <w:rPr>
                <w:b/>
              </w:rPr>
            </w:pPr>
            <w:r>
              <w:rPr>
                <w:b/>
              </w:rPr>
              <w:t>)</w:t>
            </w:r>
          </w:p>
        </w:tc>
      </w:tr>
      <w:tr>
        <w:trPr/>
        <w:tc>
          <w:tcPr>
            <w:tcW w:w="2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pPr>
            <w:r>
              <w:rPr/>
              <w:t>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9" w:type="dxa"/>
            <w:tcBorders>
              <w:bottom w:val="double" w:sz="10" w:space="0" w:color="000000"/>
            </w:tcBorders>
            <w:shd w:fill="CCEEFF" w:val="clear"/>
            <w:tcMar>
              <w:bottom w:w="28" w:type="dxa"/>
            </w:tcMar>
            <w:vAlign w:val="center"/>
          </w:tcPr>
          <w:p>
            <w:pPr>
              <w:pStyle w:val="TableContents"/>
              <w:bidi w:val="0"/>
              <w:spacing w:before="0" w:after="283"/>
              <w:jc w:val="right"/>
              <w:rPr/>
            </w:pPr>
            <w:r>
              <w:rPr/>
              <w:t>(3.95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1"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pPr>
            <w:r>
              <w:rPr/>
              <w:t>(0.34</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0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3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3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4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036" w:type="dxa"/>
            <w:tcBorders/>
            <w:shd w:fill="CCEEFF" w:val="clear"/>
            <w:vAlign w:val="center"/>
          </w:tcPr>
          <w:p>
            <w:pPr>
              <w:pStyle w:val="TableContents"/>
              <w:bidi w:val="0"/>
              <w:spacing w:before="0" w:after="283"/>
              <w:jc w:val="left"/>
              <w:rPr/>
            </w:pPr>
            <w:r>
              <w:rPr/>
              <w:t>Weighted 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19,168,110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61"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42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607,242,129</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Six Months Ended June 30, 2026</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5"/>
        <w:gridCol w:w="60"/>
        <w:gridCol w:w="153"/>
        <w:gridCol w:w="1209"/>
        <w:gridCol w:w="95"/>
        <w:gridCol w:w="60"/>
        <w:gridCol w:w="202"/>
        <w:gridCol w:w="924"/>
        <w:gridCol w:w="95"/>
        <w:gridCol w:w="60"/>
        <w:gridCol w:w="482"/>
        <w:gridCol w:w="1569"/>
        <w:gridCol w:w="60"/>
        <w:gridCol w:w="60"/>
        <w:gridCol w:w="545"/>
        <w:gridCol w:w="60"/>
        <w:gridCol w:w="163"/>
        <w:gridCol w:w="1425"/>
        <w:gridCol w:w="88"/>
      </w:tblGrid>
      <w:tr>
        <w:trPr/>
        <w:tc>
          <w:tcPr>
            <w:tcW w:w="2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Jasper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Kira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Merger Related Transaction 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before="0" w:after="283"/>
              <w:jc w:val="center"/>
              <w:rPr>
                <w:b/>
              </w:rPr>
            </w:pPr>
            <w:r>
              <w:rPr>
                <w:b/>
              </w:rPr>
              <w:t>Note 4</w:t>
            </w:r>
          </w:p>
        </w:tc>
        <w:tc>
          <w:tcPr>
            <w:tcW w:w="60" w:type="dxa"/>
            <w:tcBorders/>
            <w:vAlign w:val="center"/>
          </w:tcPr>
          <w:p>
            <w:pPr>
              <w:pStyle w:val="TableContents"/>
              <w:bidi w:val="0"/>
              <w:spacing w:before="0" w:after="283"/>
              <w:jc w:val="left"/>
              <w:rPr/>
            </w:pPr>
            <w:r>
              <w:rPr/>
              <w:t> </w:t>
            </w:r>
          </w:p>
        </w:tc>
        <w:tc>
          <w:tcPr>
            <w:tcW w:w="15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Combined</w:t>
            </w:r>
          </w:p>
        </w:tc>
        <w:tc>
          <w:tcPr>
            <w:tcW w:w="88" w:type="dxa"/>
            <w:tcBorders/>
            <w:vAlign w:val="center"/>
          </w:tcPr>
          <w:p>
            <w:pPr>
              <w:pStyle w:val="TableContents"/>
              <w:bidi w:val="0"/>
              <w:spacing w:before="0" w:after="283"/>
              <w:jc w:val="left"/>
              <w:rPr/>
            </w:pPr>
            <w:r>
              <w:rPr/>
              <w:t> </w:t>
            </w:r>
          </w:p>
        </w:tc>
      </w:tr>
      <w:tr>
        <w:trPr/>
        <w:tc>
          <w:tcPr>
            <w:tcW w:w="2895"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36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88" w:type="dxa"/>
            <w:gridSpan w:val="2"/>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180"/>
              <w:jc w:val="left"/>
              <w:rPr/>
            </w:pPr>
            <w:r>
              <w:rPr/>
              <w:t> </w:t>
            </w:r>
          </w:p>
        </w:tc>
      </w:tr>
      <w:tr>
        <w:trPr/>
        <w:tc>
          <w:tcPr>
            <w:tcW w:w="289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10,949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1,187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w:t>
            </w:r>
          </w:p>
        </w:tc>
        <w:tc>
          <w:tcPr>
            <w:tcW w:w="1569"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425" w:type="dxa"/>
            <w:tcBorders/>
            <w:shd w:fill="CCEEFF" w:val="clear"/>
            <w:vAlign w:val="center"/>
          </w:tcPr>
          <w:p>
            <w:pPr>
              <w:pStyle w:val="TableContents"/>
              <w:bidi w:val="0"/>
              <w:spacing w:before="0" w:after="283"/>
              <w:jc w:val="right"/>
              <w:rPr/>
            </w:pPr>
            <w:r>
              <w:rPr/>
              <w:t>12,136</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289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9,210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1,253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10,463</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2895" w:type="dxa"/>
            <w:tcBorders/>
            <w:shd w:fill="CCEEFF" w:val="clear"/>
            <w:vAlign w:val="center"/>
          </w:tcPr>
          <w:p>
            <w:pPr>
              <w:pStyle w:val="TableContents"/>
              <w:bidi w:val="0"/>
              <w:spacing w:before="0" w:after="283"/>
              <w:jc w:val="left"/>
              <w:rPr/>
            </w:pPr>
            <w:r>
              <w:rPr/>
              <w:t>Acquired in-process research and development expense</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rPr/>
            </w:pPr>
            <w:r>
              <w:rPr/>
              <w:t>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12" w:space="0" w:color="000000"/>
            </w:tcBorders>
            <w:shd w:fill="CCEEFF" w:val="clear"/>
            <w:tcMar>
              <w:bottom w:w="28" w:type="dxa"/>
            </w:tcMar>
            <w:vAlign w:val="center"/>
          </w:tcPr>
          <w:p>
            <w:pPr>
              <w:pStyle w:val="TableContents"/>
              <w:bidi w:val="0"/>
              <w:spacing w:before="0" w:after="283"/>
              <w:jc w:val="right"/>
              <w:rPr/>
            </w:pPr>
            <w:r>
              <w:rPr/>
              <w:t>139</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289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b/>
              </w:rPr>
            </w:pPr>
            <w:r>
              <w:rPr>
                <w:b/>
              </w:rPr>
              <w:t>20,159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b/>
              </w:rPr>
            </w:pPr>
            <w:r>
              <w:rPr>
                <w:b/>
              </w:rPr>
              <w:t>2,579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b/>
              </w:rPr>
            </w:pPr>
            <w:r>
              <w:rPr>
                <w:b/>
              </w:rPr>
              <w:t>22,738</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2895"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b/>
              </w:rPr>
            </w:pPr>
            <w:r>
              <w:rPr>
                <w:b/>
              </w:rPr>
              <w:t>(20,159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b/>
              </w:rPr>
            </w:pPr>
            <w:r>
              <w:rPr>
                <w:b/>
              </w:rPr>
              <w:t>(2,579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b/>
              </w:rPr>
            </w:pPr>
            <w:r>
              <w:rPr>
                <w:b/>
              </w:rPr>
              <w:t>(22,738</w:t>
            </w:r>
          </w:p>
        </w:tc>
        <w:tc>
          <w:tcPr>
            <w:tcW w:w="88" w:type="dxa"/>
            <w:tcBorders/>
            <w:shd w:fill="CCEEFF" w:val="clear"/>
            <w:vAlign w:val="center"/>
          </w:tcPr>
          <w:p>
            <w:pPr>
              <w:pStyle w:val="TableContents"/>
              <w:bidi w:val="0"/>
              <w:spacing w:before="0" w:after="283"/>
              <w:ind w:left="0" w:right="0" w:hanging="180"/>
              <w:jc w:val="left"/>
              <w:rPr>
                <w:b/>
              </w:rPr>
            </w:pPr>
            <w:r>
              <w:rPr>
                <w:b/>
              </w:rPr>
              <w:t>)</w:t>
            </w:r>
          </w:p>
        </w:tc>
      </w:tr>
      <w:tr>
        <w:trPr/>
        <w:tc>
          <w:tcPr>
            <w:tcW w:w="2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289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289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246</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2895"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13,620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13,620</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2895" w:type="dxa"/>
            <w:tcBorders/>
            <w:shd w:fill="FFFFFF" w:val="clear"/>
            <w:vAlign w:val="center"/>
          </w:tcPr>
          <w:p>
            <w:pPr>
              <w:pStyle w:val="TableContents"/>
              <w:bidi w:val="0"/>
              <w:spacing w:before="0" w:after="283"/>
              <w:jc w:val="left"/>
              <w:rPr/>
            </w:pPr>
            <w:r>
              <w:rPr/>
              <w:t>Gain on accounts payable settlement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1,327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1,327</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2895" w:type="dxa"/>
            <w:tcBorders/>
            <w:shd w:fill="CCEEFF" w:val="clear"/>
            <w:vAlign w:val="center"/>
          </w:tcPr>
          <w:p>
            <w:pPr>
              <w:pStyle w:val="TableContents"/>
              <w:bidi w:val="0"/>
              <w:spacing w:before="0" w:after="283"/>
              <w:jc w:val="left"/>
              <w:rPr/>
            </w:pPr>
            <w:r>
              <w:rPr/>
              <w:t>Loss on issuance of SAFEs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(2,164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(2,164</w:t>
            </w:r>
          </w:p>
        </w:tc>
        <w:tc>
          <w:tcPr>
            <w:tcW w:w="88" w:type="dxa"/>
            <w:tcBorders/>
            <w:shd w:fill="CCEEFF" w:val="clear"/>
            <w:vAlign w:val="center"/>
          </w:tcPr>
          <w:p>
            <w:pPr>
              <w:pStyle w:val="TableContents"/>
              <w:bidi w:val="0"/>
              <w:spacing w:before="0" w:after="283"/>
              <w:ind w:left="0" w:right="0" w:hanging="180"/>
              <w:jc w:val="left"/>
              <w:rPr/>
            </w:pPr>
            <w:r>
              <w:rPr/>
              <w:t>)</w:t>
            </w:r>
          </w:p>
        </w:tc>
      </w:tr>
      <w:tr>
        <w:trPr/>
        <w:tc>
          <w:tcPr>
            <w:tcW w:w="289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2,359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2,444</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289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(M)</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12" w:space="0" w:color="000000"/>
            </w:tcBorders>
            <w:shd w:fill="CCEEFF" w:val="clear"/>
            <w:tcMar>
              <w:bottom w:w="28" w:type="dxa"/>
            </w:tcMar>
            <w:vAlign w:val="center"/>
          </w:tcPr>
          <w:p>
            <w:pPr>
              <w:pStyle w:val="TableContents"/>
              <w:bidi w:val="0"/>
              <w:spacing w:before="0" w:after="283"/>
              <w:jc w:val="right"/>
              <w:rPr/>
            </w:pPr>
            <w:r>
              <w:rPr/>
              <w:t>(87</w:t>
            </w:r>
          </w:p>
        </w:tc>
        <w:tc>
          <w:tcPr>
            <w:tcW w:w="88" w:type="dxa"/>
            <w:tcBorders/>
            <w:shd w:fill="CCEEFF" w:val="clear"/>
            <w:vAlign w:val="center"/>
          </w:tcPr>
          <w:p>
            <w:pPr>
              <w:pStyle w:val="TableContents"/>
              <w:bidi w:val="0"/>
              <w:spacing w:before="0" w:after="283"/>
              <w:ind w:left="0" w:right="0" w:hanging="180"/>
              <w:jc w:val="left"/>
              <w:rPr/>
            </w:pPr>
            <w:r>
              <w:rPr/>
              <w:t>)</w:t>
            </w:r>
          </w:p>
        </w:tc>
      </w:tr>
      <w:tr>
        <w:trPr/>
        <w:tc>
          <w:tcPr>
            <w:tcW w:w="2895" w:type="dxa"/>
            <w:tcBorders/>
            <w:shd w:fill="FFFFFF" w:val="clear"/>
            <w:vAlign w:val="center"/>
          </w:tcPr>
          <w:p>
            <w:pPr>
              <w:pStyle w:val="TableContents"/>
              <w:bidi w:val="0"/>
              <w:spacing w:before="0" w:after="283"/>
              <w:jc w:val="left"/>
              <w:rPr>
                <w:b/>
              </w:rPr>
            </w:pPr>
            <w:r>
              <w:rPr>
                <w:b/>
              </w:rPr>
              <w:t>Total other income, net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4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15,386</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2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289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0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(3,934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2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(3,418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48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56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(7,352</w:t>
            </w:r>
          </w:p>
        </w:tc>
        <w:tc>
          <w:tcPr>
            <w:tcW w:w="88" w:type="dxa"/>
            <w:tcBorders/>
            <w:shd w:fill="FFFFFF" w:val="clear"/>
            <w:vAlign w:val="center"/>
          </w:tcPr>
          <w:p>
            <w:pPr>
              <w:pStyle w:val="TableContents"/>
              <w:bidi w:val="0"/>
              <w:spacing w:before="0" w:after="283"/>
              <w:ind w:left="0" w:right="0" w:hanging="180"/>
              <w:jc w:val="left"/>
              <w:rPr>
                <w:b/>
              </w:rPr>
            </w:pPr>
            <w:r>
              <w:rPr>
                <w:b/>
              </w:rPr>
              <w:t>)</w:t>
            </w:r>
          </w:p>
        </w:tc>
      </w:tr>
      <w:tr>
        <w:trPr/>
        <w:tc>
          <w:tcPr>
            <w:tcW w:w="2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2895" w:type="dxa"/>
            <w:tcBorders/>
            <w:shd w:fill="FFFFFF" w:val="clear"/>
            <w:vAlign w:val="center"/>
          </w:tcPr>
          <w:p>
            <w:pPr>
              <w:pStyle w:val="TableContents"/>
              <w:bidi w:val="0"/>
              <w:spacing w:before="0" w:after="283"/>
              <w:jc w:val="left"/>
              <w:rPr>
                <w:b/>
              </w:rPr>
            </w:pPr>
            <w:r>
              <w:rPr>
                <w:b/>
              </w:rPr>
              <w:t>Other comprehensive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2895" w:type="dxa"/>
            <w:tcBorders/>
            <w:shd w:fill="CCEEFF" w:val="clear"/>
            <w:vAlign w:val="center"/>
          </w:tcPr>
          <w:p>
            <w:pPr>
              <w:pStyle w:val="TableContents"/>
              <w:bidi w:val="0"/>
              <w:spacing w:before="0" w:after="283"/>
              <w:jc w:val="left"/>
              <w:rPr/>
            </w:pPr>
            <w:r>
              <w:rPr/>
              <w:t>Foreign currency translation adjustment, net of tax</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rPr/>
            </w:pPr>
            <w:r>
              <w:rPr/>
              <w:t>(151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12" w:space="0" w:color="000000"/>
            </w:tcBorders>
            <w:shd w:fill="CCEEFF" w:val="clear"/>
            <w:tcMar>
              <w:bottom w:w="28" w:type="dxa"/>
            </w:tcMar>
            <w:vAlign w:val="center"/>
          </w:tcPr>
          <w:p>
            <w:pPr>
              <w:pStyle w:val="TableContents"/>
              <w:bidi w:val="0"/>
              <w:spacing w:before="0" w:after="283"/>
              <w:jc w:val="right"/>
              <w:rPr/>
            </w:pPr>
            <w:r>
              <w:rPr/>
              <w:t>(151</w:t>
            </w:r>
          </w:p>
        </w:tc>
        <w:tc>
          <w:tcPr>
            <w:tcW w:w="88" w:type="dxa"/>
            <w:tcBorders/>
            <w:shd w:fill="CCEEFF" w:val="clear"/>
            <w:vAlign w:val="center"/>
          </w:tcPr>
          <w:p>
            <w:pPr>
              <w:pStyle w:val="TableContents"/>
              <w:bidi w:val="0"/>
              <w:spacing w:before="0" w:after="283"/>
              <w:ind w:left="0" w:right="0" w:hanging="180"/>
              <w:jc w:val="left"/>
              <w:rPr/>
            </w:pPr>
            <w:r>
              <w:rPr/>
              <w:t>)</w:t>
            </w:r>
          </w:p>
        </w:tc>
      </w:tr>
      <w:tr>
        <w:trPr/>
        <w:tc>
          <w:tcPr>
            <w:tcW w:w="2895"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0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(3,934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2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48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56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4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(7,503</w:t>
            </w:r>
          </w:p>
        </w:tc>
        <w:tc>
          <w:tcPr>
            <w:tcW w:w="88" w:type="dxa"/>
            <w:tcBorders/>
            <w:shd w:fill="FFFFFF" w:val="clear"/>
            <w:vAlign w:val="center"/>
          </w:tcPr>
          <w:p>
            <w:pPr>
              <w:pStyle w:val="TableContents"/>
              <w:bidi w:val="0"/>
              <w:spacing w:before="0" w:after="283"/>
              <w:ind w:left="0" w:right="0" w:hanging="180"/>
              <w:jc w:val="left"/>
              <w:rPr>
                <w:b/>
              </w:rPr>
            </w:pPr>
            <w:r>
              <w:rPr>
                <w:b/>
              </w:rPr>
              <w:t>)</w:t>
            </w:r>
          </w:p>
        </w:tc>
      </w:tr>
      <w:tr>
        <w:trPr/>
        <w:tc>
          <w:tcPr>
            <w:tcW w:w="2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2895" w:type="dxa"/>
            <w:tcBorders/>
            <w:shd w:fill="FFFFFF" w:val="clear"/>
            <w:vAlign w:val="center"/>
          </w:tcPr>
          <w:p>
            <w:pPr>
              <w:pStyle w:val="TableContents"/>
              <w:bidi w:val="0"/>
              <w:spacing w:before="0" w:after="283"/>
              <w:jc w:val="left"/>
              <w:rPr/>
            </w:pPr>
            <w:r>
              <w:rPr/>
              <w:t>Net loss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9" w:type="dxa"/>
            <w:tcBorders>
              <w:bottom w:val="double" w:sz="10" w:space="0" w:color="000000"/>
            </w:tcBorders>
            <w:shd w:fill="FFFFFF" w:val="clear"/>
            <w:tcMar>
              <w:bottom w:w="28" w:type="dxa"/>
            </w:tcMar>
            <w:vAlign w:val="center"/>
          </w:tcPr>
          <w:p>
            <w:pPr>
              <w:pStyle w:val="TableContents"/>
              <w:bidi w:val="0"/>
              <w:spacing w:before="0" w:after="283"/>
              <w:jc w:val="right"/>
              <w:rPr/>
            </w:pPr>
            <w:r>
              <w:rPr/>
              <w:t>(0.14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69"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25" w:type="dxa"/>
            <w:tcBorders>
              <w:bottom w:val="double" w:sz="10" w:space="0" w:color="000000"/>
            </w:tcBorders>
            <w:shd w:fill="FFFFFF" w:val="clear"/>
            <w:tcMar>
              <w:bottom w:w="28" w:type="dxa"/>
            </w:tcMar>
            <w:vAlign w:val="center"/>
          </w:tcPr>
          <w:p>
            <w:pPr>
              <w:pStyle w:val="TableContents"/>
              <w:bidi w:val="0"/>
              <w:spacing w:before="0" w:after="283"/>
              <w:jc w:val="right"/>
              <w:rPr/>
            </w:pPr>
            <w:r>
              <w:rPr/>
              <w:t>(0.01</w:t>
            </w:r>
          </w:p>
        </w:tc>
        <w:tc>
          <w:tcPr>
            <w:tcW w:w="88" w:type="dxa"/>
            <w:tcBorders/>
            <w:shd w:fill="FFFFFF" w:val="clear"/>
            <w:vAlign w:val="center"/>
          </w:tcPr>
          <w:p>
            <w:pPr>
              <w:pStyle w:val="TableContents"/>
              <w:bidi w:val="0"/>
              <w:spacing w:before="0" w:after="283"/>
              <w:ind w:left="0" w:right="0" w:hanging="180"/>
              <w:jc w:val="left"/>
              <w:rPr/>
            </w:pPr>
            <w:r>
              <w:rPr/>
              <w:t>)</w:t>
            </w:r>
          </w:p>
        </w:tc>
      </w:tr>
      <w:tr>
        <w:trPr/>
        <w:tc>
          <w:tcPr>
            <w:tcW w:w="2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5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2895" w:type="dxa"/>
            <w:tcBorders/>
            <w:shd w:fill="FFFFFF" w:val="clear"/>
            <w:vAlign w:val="center"/>
          </w:tcPr>
          <w:p>
            <w:pPr>
              <w:pStyle w:val="TableContents"/>
              <w:bidi w:val="0"/>
              <w:spacing w:before="0" w:after="283"/>
              <w:jc w:val="left"/>
              <w:rPr/>
            </w:pPr>
            <w:r>
              <w:rPr/>
              <w:t>Weighted average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28,696,937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569"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(N)</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616,771,573</w:t>
            </w:r>
          </w:p>
        </w:tc>
        <w:tc>
          <w:tcPr>
            <w:tcW w:w="8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Jasper Therapeutics, Inc. (the “Company” or “Jasper”) acquired Kira Pharmaceuticals (“Kira”) in accordance with the terms of the Agreement and Plan of Merger (the “Merger Agreement”). Pursuant to the Merger Agreement, Kira merged with and into the Company (the “Merger”). The Company issued to the shareholders of Kira an aggregate of (i) 5,195,009 shares of Common Stock and (ii) 4,644,977 shares of Preferred Stock as merger consideration. Each option to purchase Kira ordinary shares was assumed and converted into options to purchase an aggregate of 392,791 shares of Common Stock and an aggregate of 351,201 shares of Preferred Stock. A total of 254,462 shares of Preferred Stock were issued to the holders of Company SAFEs.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the Company entered into the Purchase Agreement, pursuant to which the Company agreed to sell an aggregate of 4,655,951 shares of Preferred Stock for an aggregate cash purchase price of approximately $132.0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Value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the Company entered into a contingent value rights agreement (the “CVR Agreement”), pursuant to which each holder of Common Stock of record immediately prior to the closing of the Merger is entitled to one (1) contingent value right (each, a “CVR”), for each share of Common Stock held. Each CVR entitles the holder to receive a pro-rata portion of $30.0 million if the United States Food and Drug Administration issues a Priority Review Voucher in connection with briquilimab on or prior to December 31,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Mirador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Kira entered into a License Agreement with Mirador Therapeutics, Inc. (“Mirador”), pursuant to which Kira granted Mirador an exclusive, worldwide, royalty-bearing license to KP-301 and KP-402 (the “Mirador License Agreement”). Under the terms of the Mirador License Agreement, Mirador agreed to pay Kira (i) an upfront payment of $12.0 million and (ii) $8.0 million upon delivery of drug substance and compound to Mirador, as well as potential development milestone payments of up to $108.5 million, commercial milestone payments of up to $350.0 million, and tiered royalties (the “Mirador Contingent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University of Pennsylvania License Agreement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Kira executed the Third Amendment to the License Agreement (the “Third Amendment”) pursuant to the license agreement between Kira and The Trustees of the University of Pennsylvania (the “Penn License Agreement”). The terms of the Penn License Agreement and the Third Amendment include a fee under certain events defined as a change of control of Kira (the “Change in Control Fee”). Third Amendment established a minimum Change of Control Fee of $1.5 million. The Merger qualifies as a change of control as defined in the Third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BASIS OF PRESENTATION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is accounted for as an asset acquisition by the Company of Kira under ASC 805, Business Combinations. The Company performed an initial screen test under ASC 805-10-55-5A and concluded the screen test was not met as gross assets acquired included, in addition to IPR&amp;D programs, the rights to receive an upfront fee and a payment for materials deliverable to Mirador pursuant to the Mirador License Agreement, which constitute separately identifiable financial assets not similar to the IPR&amp;D programs. Because the screen test was not met, a full assessment was performed under ASC 805-10-55-5D. The Company concluded that the acquired set did not include the substantive processes or assembled workforce capable of producing outputs. Accordingly, the Merger is accounted for as an asset acquisition under ASC 805-50. No goodwill is recognized. Acquired IPR&amp;D that has no alternative future use is expensed at the acquisition date in accordance with ASC 730-10-25-1.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2026 combines the historical consolidated balance sheet of the Company and the historical consolidated balance sheet of Kira, giving effect to the Merger, the Financing, the CVR distribution and the Mirador License Agreement as if they had occurred on June 30, 2026. The unaudited pro forma condensed combined statements of operations for the six months ended June 30, 2026 and the year ended December 31, 2025 combine the historical statements of operations of the Company and Kira, giving effect to the Merger, the Financing, the CVR distribution and the Mirador License Agreement as if they had occurred on January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attributable to the Merger, the Financing and the CVR’s (the “Merger Related Transaction Adjustments”) and the adjustments attributable to the Mirador License Agreement (the “Other Transaction Adjustments”), collectively (the “pro forma adjustments”), are based on currently available information and assumptions the Company believes are reasonable and are considered preliminary.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The Company believes that its assumptions and methodologies provide a reasonable basis for presenting all of the significant effects of the Merger based on information available to management at this time and that the pro forma adjustments give appropriate effect to those assumptions and are properly applied in the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do not reflect any anticipated synergies, operating efficiencies or cost savings that may result from the Merger and integration costs that may be incurred.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ESTIMATED CONSIDERATION AND PRELIMINARY 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consideration transferred was approximately $149.0 million, inclusive of the estimated Company transaction costs in connection with the Merger is summarized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3215"/>
        <w:gridCol w:w="60"/>
        <w:gridCol w:w="141"/>
        <w:gridCol w:w="809"/>
        <w:gridCol w:w="7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Amounts</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4,021</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Preferred stock</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138,913</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Assumption of Kira options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4,739</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Estimated transaction costs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FFFFFF" w:val="clear"/>
            <w:tcMar>
              <w:bottom w:w="28" w:type="dxa"/>
            </w:tcMar>
            <w:vAlign w:val="center"/>
          </w:tcPr>
          <w:p>
            <w:pPr>
              <w:pStyle w:val="TableContents"/>
              <w:bidi w:val="0"/>
              <w:spacing w:before="0" w:after="283"/>
              <w:jc w:val="right"/>
              <w:rPr/>
            </w:pPr>
            <w:r>
              <w:rPr/>
              <w:t>1,341</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b/>
              </w:rPr>
            </w:pPr>
            <w:r>
              <w:rPr>
                <w:b/>
              </w:rPr>
              <w:t>Total consideration transferred</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149,014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estimated fair value consideration was based on the (i) common shares issued, multiplied by $0.774 which represents the closing price as reported on the Nasdaq Capital Market on July 16, 2026, (ii) the aggregate preferred shares issued (as converted to common shares), multiplied by $0.465 which represents the as converted price from the Financing, (iii) the estimated fair value of the Kira stock options exchanged for stock options of the Company and (iv) the estimated 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allocation of consideration to net assets acquired, based upon the Kira balance sheet as of the Closing Date,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6515" w:type="dxa"/>
        <w:jc w:val="left"/>
        <w:tblInd w:w="0" w:type="dxa"/>
        <w:tblLayout w:type="fixed"/>
        <w:tblCellMar>
          <w:top w:w="0" w:type="dxa"/>
          <w:left w:w="0" w:type="dxa"/>
          <w:bottom w:w="28" w:type="dxa"/>
          <w:right w:w="0" w:type="dxa"/>
        </w:tblCellMar>
      </w:tblPr>
      <w:tblGrid>
        <w:gridCol w:w="5405"/>
        <w:gridCol w:w="60"/>
        <w:gridCol w:w="140"/>
        <w:gridCol w:w="800"/>
        <w:gridCol w:w="110"/>
      </w:tblGrid>
      <w:tr>
        <w:trPr/>
        <w:tc>
          <w:tcPr>
            <w:tcW w:w="540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5405" w:type="dxa"/>
            <w:tcBorders/>
            <w:tcMar>
              <w:bottom w:w="0" w:type="dxa"/>
            </w:tcMar>
            <w:vAlign w:val="center"/>
          </w:tcPr>
          <w:p>
            <w:pPr>
              <w:pStyle w:val="TableContents"/>
              <w:bidi w:val="0"/>
              <w:spacing w:before="0" w:after="283"/>
              <w:jc w:val="left"/>
              <w:rPr/>
            </w:pPr>
            <w:r>
              <w:rPr/>
              <w:t>Assets acquired:</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5405"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10,685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405" w:type="dxa"/>
            <w:tcBorders/>
            <w:shd w:fill="FFFFFF" w:val="clear"/>
            <w:tcMar>
              <w:bottom w:w="0" w:type="dxa"/>
            </w:tcMar>
            <w:vAlign w:val="center"/>
          </w:tcPr>
          <w:p>
            <w:pPr>
              <w:pStyle w:val="TableContents"/>
              <w:bidi w:val="0"/>
              <w:spacing w:before="0" w:after="283"/>
              <w:jc w:val="left"/>
              <w:rPr/>
            </w:pPr>
            <w:r>
              <w:rPr/>
              <w:t>Mirador receivable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12,000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405" w:type="dxa"/>
            <w:tcBorders/>
            <w:shd w:fill="CCEEFF" w:val="clear"/>
            <w:tcMar>
              <w:bottom w:w="0" w:type="dxa"/>
            </w:tcMar>
            <w:vAlign w:val="center"/>
          </w:tcPr>
          <w:p>
            <w:pPr>
              <w:pStyle w:val="TableContents"/>
              <w:bidi w:val="0"/>
              <w:spacing w:before="0" w:after="283"/>
              <w:jc w:val="left"/>
              <w:rPr/>
            </w:pPr>
            <w:r>
              <w:rPr/>
              <w:t>Material deliverable to Mirador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7,995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405" w:type="dxa"/>
            <w:tcBorders/>
            <w:shd w:fill="FFFFFF" w:val="clear"/>
            <w:tcMar>
              <w:bottom w:w="0" w:type="dxa"/>
            </w:tcMar>
            <w:vAlign w:val="center"/>
          </w:tcPr>
          <w:p>
            <w:pPr>
              <w:pStyle w:val="TableContents"/>
              <w:bidi w:val="0"/>
              <w:spacing w:before="0" w:after="283"/>
              <w:jc w:val="left"/>
              <w:rPr/>
            </w:pPr>
            <w:r>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576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405" w:type="dxa"/>
            <w:tcBorders/>
            <w:shd w:fill="CCEEFF" w:val="clear"/>
            <w:tcMar>
              <w:bottom w:w="0" w:type="dxa"/>
            </w:tcMar>
            <w:vAlign w:val="center"/>
          </w:tcPr>
          <w:p>
            <w:pPr>
              <w:pStyle w:val="TableContents"/>
              <w:bidi w:val="0"/>
              <w:spacing w:before="0" w:after="283"/>
              <w:jc w:val="left"/>
              <w:rPr/>
            </w:pPr>
            <w:r>
              <w:rPr/>
              <w:t>Property and equipment and other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384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405" w:type="dxa"/>
            <w:tcBorders/>
            <w:shd w:fill="FFFFFF" w:val="clear"/>
            <w:tcMar>
              <w:bottom w:w="0" w:type="dxa"/>
            </w:tcMar>
            <w:vAlign w:val="center"/>
          </w:tcPr>
          <w:p>
            <w:pPr>
              <w:pStyle w:val="TableContents"/>
              <w:bidi w:val="0"/>
              <w:spacing w:before="0" w:after="283"/>
              <w:jc w:val="left"/>
              <w:rPr/>
            </w:pPr>
            <w:r>
              <w:rPr/>
              <w:t>Liabilities assumed: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405" w:type="dxa"/>
            <w:tcBorders/>
            <w:shd w:fill="CCEEFF" w:val="clear"/>
            <w:tcMar>
              <w:bottom w:w="0" w:type="dxa"/>
            </w:tcMar>
            <w:vAlign w:val="center"/>
          </w:tcPr>
          <w:p>
            <w:pPr>
              <w:pStyle w:val="TableContents"/>
              <w:bidi w:val="0"/>
              <w:spacing w:before="0" w:after="283"/>
              <w:jc w:val="left"/>
              <w:rPr/>
            </w:pPr>
            <w:r>
              <w:rPr/>
              <w:t>Accounts payable, accrued liabilities and other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(6,291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405" w:type="dxa"/>
            <w:tcBorders/>
            <w:shd w:fill="FFFFFF" w:val="clear"/>
            <w:tcMar>
              <w:bottom w:w="0" w:type="dxa"/>
            </w:tcMar>
            <w:vAlign w:val="center"/>
          </w:tcPr>
          <w:p>
            <w:pPr>
              <w:pStyle w:val="TableContents"/>
              <w:bidi w:val="0"/>
              <w:spacing w:before="0" w:after="283"/>
              <w:jc w:val="left"/>
              <w:rPr/>
            </w:pPr>
            <w:r>
              <w:rPr/>
              <w:t>Penn change in control fee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(1,500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405" w:type="dxa"/>
            <w:tcBorders/>
            <w:shd w:fill="CCEEFF" w:val="clear"/>
            <w:tcMar>
              <w:bottom w:w="0" w:type="dxa"/>
            </w:tcMar>
            <w:vAlign w:val="center"/>
          </w:tcPr>
          <w:p>
            <w:pPr>
              <w:pStyle w:val="TableContents"/>
              <w:bidi w:val="0"/>
              <w:spacing w:before="0" w:after="283"/>
              <w:jc w:val="left"/>
              <w:rPr/>
            </w:pPr>
            <w:r>
              <w:rPr/>
              <w:t>Acquired in-process research and development (IPR&amp;D)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125,165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405" w:type="dxa"/>
            <w:tcBorders/>
            <w:shd w:fill="FFFFFF" w:val="clear"/>
            <w:tcMar>
              <w:bottom w:w="0" w:type="dxa"/>
            </w:tcMar>
            <w:vAlign w:val="center"/>
          </w:tcPr>
          <w:p>
            <w:pPr>
              <w:pStyle w:val="TableContents"/>
              <w:bidi w:val="0"/>
              <w:spacing w:before="0" w:after="283"/>
              <w:jc w:val="left"/>
              <w:rPr>
                <w:b/>
              </w:rPr>
            </w:pPr>
            <w:r>
              <w:rPr>
                <w:b/>
              </w:rPr>
              <w:t>Total consideration transferred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800" w:type="dxa"/>
            <w:tcBorders>
              <w:bottom w:val="double" w:sz="10" w:space="0" w:color="000000"/>
            </w:tcBorders>
            <w:shd w:fill="FFFFFF" w:val="clear"/>
            <w:vAlign w:val="center"/>
          </w:tcPr>
          <w:p>
            <w:pPr>
              <w:pStyle w:val="TableContents"/>
              <w:bidi w:val="0"/>
              <w:spacing w:before="0" w:after="283"/>
              <w:jc w:val="right"/>
              <w:rPr>
                <w:b/>
              </w:rPr>
            </w:pPr>
            <w:r>
              <w:rPr>
                <w:b/>
              </w:rPr>
              <w:t>149,014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allocation of the purchase price is based upon certain preliminary valuations and other analyses that have not been completed as of the date of this filing. Any changes in the estimated fair values of the net assets recorded for this asset acquisition upon the finalization of more detailed analyses of the facts and circumstances that existed at the date of the Merger will change the allocation of the purchase price. As such, the purchase price allocations for the acquisition are preliminary estimates, which are subject to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TRANSACTION ACCOUNTING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included in the “Transaction Accounting Adjustments” column are preliminary and represent the Company’s best estimates based on currently available information and assumptions the Company believes are reasonable.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record $124.8 million net proceeds associated with the issuance of Preferred Stock under the Purchase Agreement as follows:</w:t>
            </w:r>
          </w:p>
        </w:tc>
      </w:tr>
    </w:tbl>
    <w:p>
      <w:pPr>
        <w:pStyle w:val="TextBody"/>
        <w:bidi w:val="0"/>
        <w:spacing w:before="0" w:after="0"/>
        <w:ind w:left="0" w:right="0" w:hanging="0"/>
        <w:jc w:val="both"/>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3200"/>
        <w:gridCol w:w="60"/>
        <w:gridCol w:w="140"/>
        <w:gridCol w:w="800"/>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Gross proceeds from Financing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132,000</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Placement agent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(6,980</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Other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(191</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b/>
              </w:rPr>
            </w:pPr>
            <w:r>
              <w:rPr>
                <w:b/>
              </w:rPr>
              <w:t>Net cash pro forma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124,829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record the issuance of 4,899,439 shares of Preferred Stock as merger consideration, consisting of (i) 4,644,977 shares issued to former shareholders of Kira and (ii) 254,462 shares issued to holders of Company SAFEs, each valued at the Financing price. This adjustment also reflects the elimination of Kira’s historical equity balances, including common stock, additional paid-in capital, accumulated deficit, and accumulated other comprehensive income, as part of the acquisition accounting.</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record the issuance of 5,195,009 shares of Common Stock to former shareholders of Kira as merger consideration, valued at $0.774 per share, representing the closing price of the Company’s Voting Common Stock as reported on the closing date of the Merger.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record the expensing of acquired IPR&amp;D at the acquisition date. The acquired programs, KP-104 (anti-C5 x Factor H bifunctional biologic, and KP-701 (anti-CD79B x CD32B bispecific), have no alternative future use and are expensed per ASC 730-10-25-1.</w:t>
            </w:r>
          </w:p>
        </w:tc>
      </w:tr>
    </w:tbl>
    <w:p>
      <w:pPr>
        <w:pStyle w:val="TextBody"/>
        <w:bidi w:val="0"/>
        <w:spacing w:before="0" w:after="0"/>
        <w:ind w:left="720" w:right="0" w:hanging="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26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6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record upfront license fee receivable under the Mirador License Agreement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record Merger consideration allocable to the Mirador receivable, the material deliverable to Mirador and the Change in Control Fee liability under the Penn License Agreement.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connection with the Merger, the Company assumed all outstanding and unexercised Kira equity options, which were converted into options to purchase an aggregate of (i) 392,791 shares of Common Stock and (ii) 351,201 shares of Preferred Stock (collectively, the “Assumed Options”). The closing-date fair value of the Assumed Options was determined using a Black-Scholes valuation model, utilizing the Merger date closing market price of $0.774 per share.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closing-date fair value was allocated between (i) the pre-combination service period, which is included as part of the consideration transferred in the amount of approximately $4.8 million, and (ii) the post-combination service period, which will be recognized as stock-based compensation expense under ASC 718 over the remaining vesting periods. The pre-combination service period portion reflects the closing-date fair value multiplied by the ratio of service completed prior to the acquisition date to the total vesting period for each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record the elimination of Kira SAFEs and historical equity balances, including common stock, additional paid-in capital, accumulated deficit, and accumulated other comprehensive income settled or extinguished in conjunction with the Merger.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connection with the Merger, the Company entered into the CVR Agreement pursuant to which each holder of Common Stock of record immediately prior to the Closing is entitled to one (1) CVR for each share of Common Stock held. Each CVR entitles the holder to receive a pro-rata portion of $30.0 million if the United States Food and Drug Administration issues a Priority Review Voucher in connection with briquilimab on or prior to December 31, 2028. The aggregate fair value of the CVR obligation at the time of the Closing was $1.9 million, which is recognized as a liability with the dividend recognized to additional paid in capital.</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record the estimated value of physical samples  of antibodies, cell lines used to manufacture antibodies, compounds, drug substance and drug product licensed and deliverable to Mirador under the Mirador License Agreement.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both"/>
              <w:rPr/>
            </w:pPr>
            <w:r>
              <w:rPr/>
              <w:t> </w:t>
            </w:r>
          </w:p>
        </w:tc>
        <w:tc>
          <w:tcPr>
            <w:tcW w:w="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9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record the Change in Control Fee under the Penn License Agreement.</w:t>
            </w:r>
          </w:p>
        </w:tc>
      </w:tr>
      <w:tr>
        <w:trPr/>
        <w:tc>
          <w:tcPr>
            <w:tcW w:w="75" w:type="dxa"/>
            <w:tcBorders/>
            <w:vAlign w:val="center"/>
          </w:tcPr>
          <w:p>
            <w:pPr>
              <w:pStyle w:val="TableContents"/>
              <w:bidi w:val="0"/>
              <w:spacing w:before="0" w:after="283"/>
              <w:jc w:val="both"/>
              <w:rPr/>
            </w:pPr>
            <w:r>
              <w:rPr/>
              <w:t> </w:t>
            </w:r>
          </w:p>
        </w:tc>
        <w:tc>
          <w:tcPr>
            <w:tcW w:w="268" w:type="dxa"/>
            <w:tcBorders/>
            <w:vAlign w:val="center"/>
          </w:tcPr>
          <w:p>
            <w:pPr>
              <w:pStyle w:val="TableContents"/>
              <w:bidi w:val="0"/>
              <w:spacing w:before="0" w:after="283"/>
              <w:jc w:val="left"/>
              <w:rPr/>
            </w:pPr>
            <w:r>
              <w:rPr/>
              <w:t> </w:t>
            </w:r>
          </w:p>
        </w:tc>
        <w:tc>
          <w:tcPr>
            <w:tcW w:w="986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9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record direct acquisition costs (legal, accounting, and advisory fees) not yet reflected in the Company’s historical financial statements as of June 30, 2026.</w:t>
            </w:r>
          </w:p>
        </w:tc>
      </w:tr>
      <w:tr>
        <w:trPr/>
        <w:tc>
          <w:tcPr>
            <w:tcW w:w="75" w:type="dxa"/>
            <w:tcBorders/>
            <w:vAlign w:val="center"/>
          </w:tcPr>
          <w:p>
            <w:pPr>
              <w:pStyle w:val="TableContents"/>
              <w:bidi w:val="0"/>
              <w:spacing w:before="0" w:after="283"/>
              <w:jc w:val="both"/>
              <w:rPr/>
            </w:pPr>
            <w:r>
              <w:rPr/>
              <w:t> </w:t>
            </w:r>
          </w:p>
        </w:tc>
        <w:tc>
          <w:tcPr>
            <w:tcW w:w="268" w:type="dxa"/>
            <w:tcBorders/>
            <w:vAlign w:val="center"/>
          </w:tcPr>
          <w:p>
            <w:pPr>
              <w:pStyle w:val="TableContents"/>
              <w:bidi w:val="0"/>
              <w:spacing w:before="0" w:after="283"/>
              <w:jc w:val="left"/>
              <w:rPr/>
            </w:pPr>
            <w:r>
              <w:rPr/>
              <w:t> </w:t>
            </w:r>
          </w:p>
        </w:tc>
        <w:tc>
          <w:tcPr>
            <w:tcW w:w="986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9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pro forma income tax benefit has been recognized on the net loss generated by the transaction accounting adjustments. The Company maintains a full valuation allowance against its deferred tax assets, as it is not more likely than not that those assets will be realized. Accordingly, no deferred tax benefit arising from the acquired IPR&amp;D charge, transaction costs, CVR distribution, or other pro forma adjustments has been recorded. The effective tax rate on the pro forma combined results is zero for this reason.</w:t>
            </w:r>
          </w:p>
        </w:tc>
      </w:tr>
      <w:tr>
        <w:trPr/>
        <w:tc>
          <w:tcPr>
            <w:tcW w:w="75" w:type="dxa"/>
            <w:tcBorders/>
            <w:vAlign w:val="center"/>
          </w:tcPr>
          <w:p>
            <w:pPr>
              <w:pStyle w:val="TableContents"/>
              <w:bidi w:val="0"/>
              <w:spacing w:before="0" w:after="283"/>
              <w:jc w:val="both"/>
              <w:rPr/>
            </w:pPr>
            <w:r>
              <w:rPr/>
              <w:t> </w:t>
            </w:r>
          </w:p>
        </w:tc>
        <w:tc>
          <w:tcPr>
            <w:tcW w:w="268" w:type="dxa"/>
            <w:tcBorders/>
            <w:vAlign w:val="center"/>
          </w:tcPr>
          <w:p>
            <w:pPr>
              <w:pStyle w:val="TableContents"/>
              <w:bidi w:val="0"/>
              <w:spacing w:before="0" w:after="283"/>
              <w:jc w:val="left"/>
              <w:rPr/>
            </w:pPr>
            <w:r>
              <w:rPr/>
              <w:t> </w:t>
            </w:r>
          </w:p>
        </w:tc>
        <w:tc>
          <w:tcPr>
            <w:tcW w:w="986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9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basic and diluted loss per share reflect the pro forma net loss for each period presented and assume that all shares of Common Stock and Preferred Stock issued in connection with the Merger and the Financing were outstanding for the entirety of all periods presented.</w:t>
            </w:r>
          </w:p>
        </w:tc>
      </w:tr>
      <w:tr>
        <w:trPr/>
        <w:tc>
          <w:tcPr>
            <w:tcW w:w="75" w:type="dxa"/>
            <w:tcBorders/>
            <w:vAlign w:val="center"/>
          </w:tcPr>
          <w:p>
            <w:pPr>
              <w:pStyle w:val="TableContents"/>
              <w:bidi w:val="0"/>
              <w:spacing w:before="0" w:after="283"/>
              <w:jc w:val="both"/>
              <w:rPr/>
            </w:pPr>
            <w:r>
              <w:rPr/>
              <w:t> </w:t>
            </w:r>
          </w:p>
        </w:tc>
        <w:tc>
          <w:tcPr>
            <w:tcW w:w="268" w:type="dxa"/>
            <w:tcBorders/>
            <w:vAlign w:val="center"/>
          </w:tcPr>
          <w:p>
            <w:pPr>
              <w:pStyle w:val="TableContents"/>
              <w:bidi w:val="0"/>
              <w:spacing w:before="0" w:after="283"/>
              <w:jc w:val="left"/>
              <w:rPr/>
            </w:pPr>
            <w:r>
              <w:rPr/>
              <w:t> </w:t>
            </w:r>
          </w:p>
        </w:tc>
        <w:tc>
          <w:tcPr>
            <w:tcW w:w="986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8" w:type="dxa"/>
            <w:tcBorders/>
            <w:vAlign w:val="center"/>
          </w:tcPr>
          <w:p>
            <w:pPr>
              <w:pStyle w:val="TableContents"/>
              <w:bidi w:val="0"/>
              <w:spacing w:before="0" w:after="283"/>
              <w:jc w:val="left"/>
              <w:rPr/>
            </w:pPr>
            <w:r>
              <w:rPr/>
              <w:t> </w:t>
            </w:r>
          </w:p>
        </w:tc>
        <w:tc>
          <w:tcPr>
            <w:tcW w:w="9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applies the two-class method of computing loss per share. The Series A Non-Voting Convertible Preferred Stock carries no liquidation preference, participates in dividends only on an as-if-converted basis when dividends are declared on Common Stock, and participates equally with Common Stock on an as-converted basis. Accordingly, the Preferred Stock is treated as a second class of common stock, net loss is allocated proportionally between classes, and loss per share is identical for both classes on a per-common-equivalent basis. The following table sets forth the pro forma adjustment to the weighted-average shares outstanding used in the calculation.</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76"/>
        <w:gridCol w:w="60"/>
        <w:gridCol w:w="266"/>
        <w:gridCol w:w="1522"/>
        <w:gridCol w:w="95"/>
        <w:gridCol w:w="60"/>
        <w:gridCol w:w="195"/>
        <w:gridCol w:w="1220"/>
        <w:gridCol w:w="111"/>
      </w:tblGrid>
      <w:tr>
        <w:trPr/>
        <w:tc>
          <w:tcPr>
            <w:tcW w:w="6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111" w:type="dxa"/>
            <w:tcBorders/>
            <w:vAlign w:val="center"/>
          </w:tcPr>
          <w:p>
            <w:pPr>
              <w:pStyle w:val="TableContents"/>
              <w:bidi w:val="0"/>
              <w:spacing w:before="0" w:after="283"/>
              <w:jc w:val="left"/>
              <w:rPr/>
            </w:pPr>
            <w:r>
              <w:rPr/>
              <w:t> </w:t>
            </w:r>
          </w:p>
        </w:tc>
      </w:tr>
      <w:tr>
        <w:trPr/>
        <w:tc>
          <w:tcPr>
            <w:tcW w:w="6676" w:type="dxa"/>
            <w:tcBorders/>
            <w:vAlign w:val="center"/>
          </w:tcPr>
          <w:p>
            <w:pPr>
              <w:pStyle w:val="TableContents"/>
              <w:bidi w:val="0"/>
              <w:spacing w:before="0" w:after="283"/>
              <w:jc w:val="left"/>
              <w:rPr>
                <w:b/>
              </w:rPr>
            </w:pPr>
            <w:r>
              <w:rPr>
                <w:b/>
              </w:rPr>
              <w:t>Numerator:</w:t>
            </w:r>
          </w:p>
        </w:tc>
        <w:tc>
          <w:tcPr>
            <w:tcW w:w="60" w:type="dxa"/>
            <w:tcBorders/>
            <w:vAlign w:val="center"/>
          </w:tcPr>
          <w:p>
            <w:pPr>
              <w:pStyle w:val="TableContents"/>
              <w:bidi w:val="0"/>
              <w:spacing w:before="0" w:after="283"/>
              <w:jc w:val="left"/>
              <w:rPr/>
            </w:pPr>
            <w:r>
              <w:rPr/>
              <w:t> </w:t>
            </w:r>
          </w:p>
        </w:tc>
        <w:tc>
          <w:tcPr>
            <w:tcW w:w="178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6676" w:type="dxa"/>
            <w:tcBorders/>
            <w:shd w:fill="CCEEFF" w:val="clear"/>
            <w:vAlign w:val="center"/>
          </w:tcPr>
          <w:p>
            <w:pPr>
              <w:pStyle w:val="TableContents"/>
              <w:bidi w:val="0"/>
              <w:spacing w:before="0" w:after="283"/>
              <w:jc w:val="left"/>
              <w:rPr/>
            </w:pPr>
            <w:r>
              <w:rPr/>
              <w:t>Pro forma comprehensive net loss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522" w:type="dxa"/>
            <w:tcBorders/>
            <w:shd w:fill="CCEEFF" w:val="clear"/>
            <w:vAlign w:val="center"/>
          </w:tcPr>
          <w:p>
            <w:pPr>
              <w:pStyle w:val="TableContents"/>
              <w:bidi w:val="0"/>
              <w:spacing w:before="0" w:after="283"/>
              <w:jc w:val="right"/>
              <w:rPr/>
            </w:pPr>
            <w:r>
              <w:rPr/>
              <w:t>(7,503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(207,253</w:t>
            </w:r>
          </w:p>
        </w:tc>
        <w:tc>
          <w:tcPr>
            <w:tcW w:w="111" w:type="dxa"/>
            <w:tcBorders/>
            <w:shd w:fill="CCEEFF" w:val="clear"/>
            <w:vAlign w:val="center"/>
          </w:tcPr>
          <w:p>
            <w:pPr>
              <w:pStyle w:val="TableContents"/>
              <w:bidi w:val="0"/>
              <w:spacing w:before="0" w:after="283"/>
              <w:jc w:val="left"/>
              <w:rPr/>
            </w:pPr>
            <w:r>
              <w:rPr/>
              <w:t>)</w:t>
            </w:r>
          </w:p>
        </w:tc>
      </w:tr>
      <w:tr>
        <w:trPr/>
        <w:tc>
          <w:tcPr>
            <w:tcW w:w="66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676" w:type="dxa"/>
            <w:tcBorders/>
            <w:shd w:fill="CCEEFF" w:val="clear"/>
            <w:vAlign w:val="center"/>
          </w:tcPr>
          <w:p>
            <w:pPr>
              <w:pStyle w:val="TableContents"/>
              <w:bidi w:val="0"/>
              <w:spacing w:before="0" w:after="283"/>
              <w:jc w:val="left"/>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676" w:type="dxa"/>
            <w:tcBorders/>
            <w:shd w:fill="FFFFFF" w:val="clear"/>
            <w:vAlign w:val="center"/>
          </w:tcPr>
          <w:p>
            <w:pPr>
              <w:pStyle w:val="TableContents"/>
              <w:bidi w:val="0"/>
              <w:spacing w:before="0" w:after="283"/>
              <w:jc w:val="left"/>
              <w:rPr>
                <w:b/>
              </w:rPr>
            </w:pPr>
            <w:r>
              <w:rPr>
                <w:b/>
              </w:rPr>
              <w:t>Common Stock:</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676" w:type="dxa"/>
            <w:tcBorders/>
            <w:shd w:fill="CCEEFF" w:val="clear"/>
            <w:vAlign w:val="center"/>
          </w:tcPr>
          <w:p>
            <w:pPr>
              <w:pStyle w:val="TableContents"/>
              <w:bidi w:val="0"/>
              <w:spacing w:before="0" w:after="283"/>
              <w:jc w:val="left"/>
              <w:rPr/>
            </w:pPr>
            <w:r>
              <w:rPr/>
              <w:t>Historical Jasper weighted average shares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28,697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19,168</w:t>
            </w:r>
          </w:p>
        </w:tc>
        <w:tc>
          <w:tcPr>
            <w:tcW w:w="111" w:type="dxa"/>
            <w:tcBorders/>
            <w:shd w:fill="CCEEFF" w:val="clear"/>
            <w:vAlign w:val="center"/>
          </w:tcPr>
          <w:p>
            <w:pPr>
              <w:pStyle w:val="TableContents"/>
              <w:bidi w:val="0"/>
              <w:spacing w:before="0" w:after="283"/>
              <w:jc w:val="left"/>
              <w:rPr/>
            </w:pPr>
            <w:r>
              <w:rPr/>
              <w:t> </w:t>
            </w:r>
          </w:p>
        </w:tc>
      </w:tr>
      <w:tr>
        <w:trPr/>
        <w:tc>
          <w:tcPr>
            <w:tcW w:w="6676" w:type="dxa"/>
            <w:tcBorders/>
            <w:shd w:fill="FFFFFF" w:val="clear"/>
            <w:vAlign w:val="center"/>
          </w:tcPr>
          <w:p>
            <w:pPr>
              <w:pStyle w:val="TableContents"/>
              <w:bidi w:val="0"/>
              <w:spacing w:before="0" w:after="283"/>
              <w:jc w:val="left"/>
              <w:rPr/>
            </w:pPr>
            <w:r>
              <w:rPr/>
              <w:t>Common Stock issued to Kira shareholders</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2" w:type="dxa"/>
            <w:tcBorders>
              <w:bottom w:val="single" w:sz="12" w:space="0" w:color="000000"/>
            </w:tcBorders>
            <w:shd w:fill="FFFFFF" w:val="clear"/>
            <w:tcMar>
              <w:bottom w:w="28" w:type="dxa"/>
            </w:tcMar>
            <w:vAlign w:val="center"/>
          </w:tcPr>
          <w:p>
            <w:pPr>
              <w:pStyle w:val="TableContents"/>
              <w:bidi w:val="0"/>
              <w:spacing w:before="0" w:after="283"/>
              <w:jc w:val="right"/>
              <w:rPr/>
            </w:pPr>
            <w:r>
              <w:rPr/>
              <w:t>5,195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5,195</w:t>
            </w:r>
          </w:p>
        </w:tc>
        <w:tc>
          <w:tcPr>
            <w:tcW w:w="111" w:type="dxa"/>
            <w:tcBorders/>
            <w:shd w:fill="FFFFFF" w:val="clear"/>
            <w:vAlign w:val="center"/>
          </w:tcPr>
          <w:p>
            <w:pPr>
              <w:pStyle w:val="TableContents"/>
              <w:bidi w:val="0"/>
              <w:spacing w:before="0" w:after="283"/>
              <w:jc w:val="left"/>
              <w:rPr/>
            </w:pPr>
            <w:r>
              <w:rPr/>
              <w:t> </w:t>
            </w:r>
          </w:p>
        </w:tc>
      </w:tr>
      <w:tr>
        <w:trPr/>
        <w:tc>
          <w:tcPr>
            <w:tcW w:w="6676" w:type="dxa"/>
            <w:tcBorders/>
            <w:shd w:fill="CCEEFF" w:val="clear"/>
            <w:vAlign w:val="center"/>
          </w:tcPr>
          <w:p>
            <w:pPr>
              <w:pStyle w:val="TableContents"/>
              <w:bidi w:val="0"/>
              <w:spacing w:before="0" w:after="283"/>
              <w:jc w:val="left"/>
              <w:rPr>
                <w:b/>
              </w:rPr>
            </w:pPr>
            <w:r>
              <w:rPr>
                <w:b/>
              </w:rPr>
              <w:t>Total weighted average Common Stock</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b/>
              </w:rPr>
            </w:pPr>
            <w:r>
              <w:rPr>
                <w:b/>
              </w:rPr>
              <w:t>33,879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24,363</w:t>
            </w:r>
          </w:p>
        </w:tc>
        <w:tc>
          <w:tcPr>
            <w:tcW w:w="111" w:type="dxa"/>
            <w:tcBorders/>
            <w:shd w:fill="CCEEFF" w:val="clear"/>
            <w:vAlign w:val="center"/>
          </w:tcPr>
          <w:p>
            <w:pPr>
              <w:pStyle w:val="TableContents"/>
              <w:bidi w:val="0"/>
              <w:spacing w:before="0" w:after="283"/>
              <w:jc w:val="left"/>
              <w:rPr/>
            </w:pPr>
            <w:r>
              <w:rPr/>
              <w:t> </w:t>
            </w:r>
          </w:p>
        </w:tc>
      </w:tr>
      <w:tr>
        <w:trPr/>
        <w:tc>
          <w:tcPr>
            <w:tcW w:w="66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676" w:type="dxa"/>
            <w:tcBorders/>
            <w:shd w:fill="CCEEFF" w:val="clear"/>
            <w:vAlign w:val="center"/>
          </w:tcPr>
          <w:p>
            <w:pPr>
              <w:pStyle w:val="TableContents"/>
              <w:bidi w:val="0"/>
              <w:spacing w:before="0" w:after="283"/>
              <w:jc w:val="left"/>
              <w:rPr>
                <w:b/>
              </w:rPr>
            </w:pPr>
            <w:r>
              <w:rPr>
                <w:b/>
              </w:rPr>
              <w:t>Preferred Stock (as-converted to Common Stock equivalents):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676" w:type="dxa"/>
            <w:tcBorders/>
            <w:shd w:fill="FFFFFF" w:val="clear"/>
            <w:vAlign w:val="center"/>
          </w:tcPr>
          <w:p>
            <w:pPr>
              <w:pStyle w:val="TableContents"/>
              <w:bidi w:val="0"/>
              <w:spacing w:before="0" w:after="283"/>
              <w:jc w:val="left"/>
              <w:rPr/>
            </w:pPr>
            <w:r>
              <w:rPr/>
              <w:t>Merger consideration</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pPr>
            <w:r>
              <w:rPr/>
              <w:t>283,344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283,344</w:t>
            </w:r>
          </w:p>
        </w:tc>
        <w:tc>
          <w:tcPr>
            <w:tcW w:w="111" w:type="dxa"/>
            <w:tcBorders/>
            <w:shd w:fill="FFFFFF" w:val="clear"/>
            <w:vAlign w:val="center"/>
          </w:tcPr>
          <w:p>
            <w:pPr>
              <w:pStyle w:val="TableContents"/>
              <w:bidi w:val="0"/>
              <w:spacing w:before="0" w:after="283"/>
              <w:jc w:val="left"/>
              <w:rPr/>
            </w:pPr>
            <w:r>
              <w:rPr/>
              <w:t> </w:t>
            </w:r>
          </w:p>
        </w:tc>
      </w:tr>
      <w:tr>
        <w:trPr/>
        <w:tc>
          <w:tcPr>
            <w:tcW w:w="6676" w:type="dxa"/>
            <w:tcBorders/>
            <w:shd w:fill="CCEEFF" w:val="clear"/>
            <w:vAlign w:val="center"/>
          </w:tcPr>
          <w:p>
            <w:pPr>
              <w:pStyle w:val="TableContents"/>
              <w:bidi w:val="0"/>
              <w:spacing w:before="0" w:after="283"/>
              <w:jc w:val="left"/>
              <w:rPr/>
            </w:pPr>
            <w:r>
              <w:rPr/>
              <w:t>SAFE holder settlement</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15,522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15,522</w:t>
            </w:r>
          </w:p>
        </w:tc>
        <w:tc>
          <w:tcPr>
            <w:tcW w:w="111" w:type="dxa"/>
            <w:tcBorders/>
            <w:shd w:fill="CCEEFF" w:val="clear"/>
            <w:vAlign w:val="center"/>
          </w:tcPr>
          <w:p>
            <w:pPr>
              <w:pStyle w:val="TableContents"/>
              <w:bidi w:val="0"/>
              <w:spacing w:before="0" w:after="283"/>
              <w:jc w:val="left"/>
              <w:rPr/>
            </w:pPr>
            <w:r>
              <w:rPr/>
              <w:t> </w:t>
            </w:r>
          </w:p>
        </w:tc>
      </w:tr>
      <w:tr>
        <w:trPr/>
        <w:tc>
          <w:tcPr>
            <w:tcW w:w="6676" w:type="dxa"/>
            <w:tcBorders/>
            <w:shd w:fill="FFFFFF" w:val="clear"/>
            <w:vAlign w:val="center"/>
          </w:tcPr>
          <w:p>
            <w:pPr>
              <w:pStyle w:val="TableContents"/>
              <w:bidi w:val="0"/>
              <w:spacing w:before="0" w:after="283"/>
              <w:jc w:val="left"/>
              <w:rPr/>
            </w:pPr>
            <w:r>
              <w:rPr/>
              <w:t>Financing</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2" w:type="dxa"/>
            <w:tcBorders>
              <w:bottom w:val="single" w:sz="12" w:space="0" w:color="000000"/>
            </w:tcBorders>
            <w:shd w:fill="FFFFFF" w:val="clear"/>
            <w:tcMar>
              <w:bottom w:w="28" w:type="dxa"/>
            </w:tcMar>
            <w:vAlign w:val="center"/>
          </w:tcPr>
          <w:p>
            <w:pPr>
              <w:pStyle w:val="TableContents"/>
              <w:bidi w:val="0"/>
              <w:spacing w:before="0" w:after="283"/>
              <w:jc w:val="right"/>
              <w:rPr/>
            </w:pPr>
            <w:r>
              <w:rPr/>
              <w:t>284,014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284,014</w:t>
            </w:r>
          </w:p>
        </w:tc>
        <w:tc>
          <w:tcPr>
            <w:tcW w:w="111" w:type="dxa"/>
            <w:tcBorders/>
            <w:shd w:fill="FFFFFF" w:val="clear"/>
            <w:vAlign w:val="center"/>
          </w:tcPr>
          <w:p>
            <w:pPr>
              <w:pStyle w:val="TableContents"/>
              <w:bidi w:val="0"/>
              <w:spacing w:before="0" w:after="283"/>
              <w:jc w:val="left"/>
              <w:rPr/>
            </w:pPr>
            <w:r>
              <w:rPr/>
              <w:t> </w:t>
            </w:r>
          </w:p>
        </w:tc>
      </w:tr>
      <w:tr>
        <w:trPr/>
        <w:tc>
          <w:tcPr>
            <w:tcW w:w="6676" w:type="dxa"/>
            <w:tcBorders/>
            <w:shd w:fill="CCEEFF" w:val="clear"/>
            <w:vAlign w:val="center"/>
          </w:tcPr>
          <w:p>
            <w:pPr>
              <w:pStyle w:val="TableContents"/>
              <w:bidi w:val="0"/>
              <w:spacing w:before="0" w:after="283"/>
              <w:jc w:val="left"/>
              <w:rPr>
                <w:b/>
              </w:rPr>
            </w:pPr>
            <w:r>
              <w:rPr>
                <w:b/>
              </w:rPr>
              <w:t>Total weighted average Preferred Stock (as-converted)</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b/>
              </w:rPr>
            </w:pPr>
            <w:r>
              <w:rPr>
                <w:b/>
              </w:rPr>
              <w:t>582,880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582,880</w:t>
            </w:r>
          </w:p>
        </w:tc>
        <w:tc>
          <w:tcPr>
            <w:tcW w:w="111" w:type="dxa"/>
            <w:tcBorders/>
            <w:shd w:fill="CCEEFF" w:val="clear"/>
            <w:vAlign w:val="center"/>
          </w:tcPr>
          <w:p>
            <w:pPr>
              <w:pStyle w:val="TableContents"/>
              <w:bidi w:val="0"/>
              <w:spacing w:before="0" w:after="283"/>
              <w:jc w:val="left"/>
              <w:rPr/>
            </w:pPr>
            <w:r>
              <w:rPr/>
              <w:t> </w:t>
            </w:r>
          </w:p>
        </w:tc>
      </w:tr>
      <w:tr>
        <w:trPr/>
        <w:tc>
          <w:tcPr>
            <w:tcW w:w="66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676" w:type="dxa"/>
            <w:tcBorders/>
            <w:shd w:fill="CCEEFF" w:val="clear"/>
            <w:vAlign w:val="center"/>
          </w:tcPr>
          <w:p>
            <w:pPr>
              <w:pStyle w:val="TableContents"/>
              <w:bidi w:val="0"/>
              <w:spacing w:before="0" w:after="283"/>
              <w:jc w:val="left"/>
              <w:rPr>
                <w:b/>
              </w:rPr>
            </w:pPr>
            <w:r>
              <w:rPr>
                <w:b/>
              </w:rPr>
              <w:t>Total weighted average shares (Common + Preferred, as-converted)</w:t>
            </w:r>
          </w:p>
        </w:tc>
        <w:tc>
          <w:tcPr>
            <w:tcW w:w="60" w:type="dxa"/>
            <w:tcBorders/>
            <w:shd w:fill="CCEEFF" w:val="clear"/>
            <w:vAlign w:val="center"/>
          </w:tcPr>
          <w:p>
            <w:pPr>
              <w:pStyle w:val="TableContents"/>
              <w:bidi w:val="0"/>
              <w:spacing w:before="0" w:after="283"/>
              <w:jc w:val="left"/>
              <w:rPr/>
            </w:pPr>
            <w:r>
              <w:rPr/>
              <w:t> </w:t>
            </w:r>
          </w:p>
        </w:tc>
        <w:tc>
          <w:tcPr>
            <w:tcW w:w="2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2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616,772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607,243</w:t>
            </w:r>
          </w:p>
        </w:tc>
        <w:tc>
          <w:tcPr>
            <w:tcW w:w="111" w:type="dxa"/>
            <w:tcBorders/>
            <w:shd w:fill="CCEEFF" w:val="clear"/>
            <w:vAlign w:val="center"/>
          </w:tcPr>
          <w:p>
            <w:pPr>
              <w:pStyle w:val="TableContents"/>
              <w:bidi w:val="0"/>
              <w:spacing w:before="0" w:after="283"/>
              <w:jc w:val="left"/>
              <w:rPr/>
            </w:pPr>
            <w:r>
              <w:rPr/>
              <w:t> </w:t>
            </w:r>
          </w:p>
        </w:tc>
      </w:tr>
      <w:tr>
        <w:trPr/>
        <w:tc>
          <w:tcPr>
            <w:tcW w:w="66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676" w:type="dxa"/>
            <w:tcBorders/>
            <w:shd w:fill="CCEEFF" w:val="clear"/>
            <w:vAlign w:val="center"/>
          </w:tcPr>
          <w:p>
            <w:pPr>
              <w:pStyle w:val="TableContents"/>
              <w:bidi w:val="0"/>
              <w:spacing w:before="0" w:after="283"/>
              <w:jc w:val="left"/>
              <w:rPr>
                <w:b/>
              </w:rPr>
            </w:pPr>
            <w:r>
              <w:rPr>
                <w:b/>
              </w:rPr>
              <w:t>Pro forma net loss per share (basic and diluted, per common equivalent):</w:t>
            </w:r>
          </w:p>
        </w:tc>
        <w:tc>
          <w:tcPr>
            <w:tcW w:w="60" w:type="dxa"/>
            <w:tcBorders/>
            <w:shd w:fill="CCEEFF" w:val="clear"/>
            <w:vAlign w:val="center"/>
          </w:tcPr>
          <w:p>
            <w:pPr>
              <w:pStyle w:val="TableContents"/>
              <w:bidi w:val="0"/>
              <w:spacing w:before="0" w:after="283"/>
              <w:jc w:val="left"/>
              <w:rPr/>
            </w:pPr>
            <w:r>
              <w:rPr/>
              <w:t> </w:t>
            </w:r>
          </w:p>
        </w:tc>
        <w:tc>
          <w:tcPr>
            <w:tcW w:w="2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22"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(0.34</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center"/>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8028/000121390026105924/ea030686001ex23-1.htm" TargetMode="External"/><Relationship Id="rId3" Type="http://schemas.openxmlformats.org/officeDocument/2006/relationships/hyperlink" Target="https://www.sec.gov/Archives/edgar/data/1788028/000121390026105924/ea030686001ex99-1.htm" TargetMode="External"/><Relationship Id="rId4" Type="http://schemas.openxmlformats.org/officeDocument/2006/relationships/hyperlink" Target="https://www.sec.gov/Archives/edgar/data/1788028/000121390026105924/ea030686001ex99-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5306</Words>
  <Characters>28355</Characters>
  <CharactersWithSpaces>34990</CharactersWithSpaces>
  <Paragraphs>2879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