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Keenan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ALBERTA,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70"/>
        <w:gridCol w:w="1222"/>
        <w:gridCol w:w="1124"/>
        <w:gridCol w:w="1505"/>
        <w:gridCol w:w="969"/>
        <w:gridCol w:w="1255"/>
        <w:gridCol w:w="1214"/>
        <w:gridCol w:w="134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7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50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6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5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Voting Common Stock</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103,204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15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Non Voting Convertible Preferred Stock</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92,278</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Agreement and Plan of Merger by and among Kira Pharmaceuticals ("Kira"), Jasper Therapeutics, Inc. ("Jasper") and Kira Holdco Inc. ("Merger Sub"), a wholly owned subsidiary of Jasper, dated July 16, 2026 (the "Merger Agreement"), Kira merged with and into Merger Sub, with Merger Sub surviving (the "Merger"). Each option to purchase shares of Kira ordinary shares (each, a "Kira Option") that was outstanding and unexercised immediately prior to the closing of the Merger, whether or not vested, was converted into and became an option to purchase Jasper's voting common stock, par value $0.0001 per share ("Voting Common Stock") and shares of the Jasper Non-Voting Convertible Preferred Stock, par value $0.0001 ("Preferred Stock") pursuant to the terms and conditions of the Merger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Beginning on June 10, 2026, the option vests in equal monthly installments over 48 months, subject to the Reporting Person's continued service to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Merger Agreement, the Reporting Person received 103, 204 options to purchase shares of Voting Common Stock and 92,278 options to purchase shares of Preferred Stock in exchange for 622,456 Kira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the third business day following the receipt of stockholder approval of the conversion of the Preferred Stock, each share of preferred stock shall automatically convert into 61 shares of the Issuer's Voting Common Stock, subject to certain limitations, including that a holder of Preferred Stock is prohibited from converting shares of preferred stock into shares of Voting Common Stock if, as a result of such conversion, such holder, together with its affiliates, would beneficially own more than a specified percentage (to be established by the holder between 4.9% and 19.9%) of the total number of shares of Voting Common Stock issued and outstanding immediately after giving effect to such conversion. The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Herb Cross,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29895202ex-24.htm"/>
      <w:bookmarkStart w:id="3" w:name="ksea029895202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makes, constitutes and appoints each of Herb Cross and Jeetinder Singh Mahal (also known as Jeet Mahal),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Jasper Therapeutics, Inc.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and file SEC Filings with the SEC utilizing the EDGAR system or cause them to be submitted and filed by a person appointed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File, submit or otherwise deliver SEC Filings to any securities exchange on which the Company’s securities may be listed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Follow]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as of July 21, 2026.</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28" w:type="dxa"/>
          <w:right w:w="0" w:type="dxa"/>
        </w:tblCellMar>
      </w:tblPr>
      <w:tblGrid>
        <w:gridCol w:w="1355"/>
        <w:gridCol w:w="75"/>
      </w:tblGrid>
      <w:tr>
        <w:trPr/>
        <w:tc>
          <w:tcPr>
            <w:tcW w:w="1355" w:type="dxa"/>
            <w:tcBorders>
              <w:bottom w:val="single" w:sz="12" w:space="0" w:color="000000"/>
            </w:tcBorders>
            <w:vAlign w:val="center"/>
          </w:tcPr>
          <w:p>
            <w:pPr>
              <w:pStyle w:val="TableContents"/>
              <w:bidi w:val="0"/>
              <w:spacing w:before="0" w:after="283"/>
              <w:jc w:val="left"/>
              <w:rPr>
                <w:i/>
                <w:sz w:val="20"/>
              </w:rPr>
            </w:pPr>
            <w:r>
              <w:rPr>
                <w:i/>
                <w:sz w:val="20"/>
              </w:rPr>
              <w:t>/s/ Greg Keenan</w:t>
            </w:r>
          </w:p>
        </w:tc>
        <w:tc>
          <w:tcPr>
            <w:tcW w:w="75" w:type="dxa"/>
            <w:tcBorders/>
            <w:tcMar>
              <w:bottom w:w="0" w:type="dxa"/>
            </w:tcMar>
            <w:vAlign w:val="center"/>
          </w:tcPr>
          <w:p>
            <w:pPr>
              <w:pStyle w:val="TableContents"/>
              <w:bidi w:val="0"/>
              <w:spacing w:before="0" w:after="283"/>
              <w:jc w:val="center"/>
              <w:rPr/>
            </w:pPr>
            <w:r>
              <w:rPr/>
              <w:t> </w:t>
            </w:r>
          </w:p>
        </w:tc>
      </w:tr>
      <w:tr>
        <w:trPr/>
        <w:tc>
          <w:tcPr>
            <w:tcW w:w="1355" w:type="dxa"/>
            <w:tcBorders/>
            <w:tcMar>
              <w:bottom w:w="0" w:type="dxa"/>
            </w:tcMar>
            <w:vAlign w:val="center"/>
          </w:tcPr>
          <w:p>
            <w:pPr>
              <w:pStyle w:val="TableContents"/>
              <w:bidi w:val="0"/>
              <w:spacing w:before="0" w:after="283"/>
              <w:jc w:val="left"/>
              <w:rPr>
                <w:sz w:val="20"/>
              </w:rPr>
            </w:pPr>
            <w:r>
              <w:rPr>
                <w:sz w:val="20"/>
              </w:rPr>
              <w:t>Greg Keenan</w:t>
            </w:r>
          </w:p>
        </w:tc>
        <w:tc>
          <w:tcPr>
            <w:tcW w:w="7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44006" TargetMode="External"/><Relationship Id="rId3" Type="http://schemas.openxmlformats.org/officeDocument/2006/relationships/hyperlink" Target="http://www.sec.gov/cgi-bin/browse-edgar?action=getcompany&amp;CIK=000178802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1630</Words>
  <Characters>8873</Characters>
  <CharactersWithSpaces>10444</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