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a0307484-8k_jasper.htm"/>
      <w:bookmarkStart w:id="1" w:name="ksea03074848k_jasper"/>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30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30, 2026</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JASPER THERAPEUTICS,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2825"/>
        <w:gridCol w:w="60"/>
        <w:gridCol w:w="2765"/>
        <w:gridCol w:w="60"/>
        <w:gridCol w:w="1880"/>
      </w:tblGrid>
      <w:tr>
        <w:trPr/>
        <w:tc>
          <w:tcPr>
            <w:tcW w:w="2825" w:type="dxa"/>
            <w:tcBorders>
              <w:bottom w:val="single" w:sz="12" w:space="0" w:color="000000"/>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8_edei--EntityFileNumber_c20260930"/>
            <w:bookmarkEnd w:id="6"/>
            <w:r>
              <w:rPr>
                <w:b/>
              </w:rPr>
              <w:t>001-39138</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3_edei--EntityTaxIdentificationNum"/>
            <w:bookmarkEnd w:id="7"/>
            <w:r>
              <w:rPr>
                <w:b/>
              </w:rPr>
              <w:t>84-2984849</w:t>
            </w:r>
          </w:p>
        </w:tc>
      </w:tr>
      <w:tr>
        <w:trPr/>
        <w:tc>
          <w:tcPr>
            <w:tcW w:w="2825"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pPr>
            <w:r>
              <w:rPr>
                <w:b/>
              </w:rPr>
              <w:t>(IRS Employer</w:t>
            </w:r>
            <w:r>
              <w:rPr/>
              <w:br/>
            </w:r>
            <w:r>
              <w:rPr>
                <w:b/>
              </w:rP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2200 Bridge Pkwy Suite #102</w:t>
        <w:br/>
      </w:r>
      <w:bookmarkStart w:id="9" w:name="xdx_90E_edei--EntityAddressCityOrTown_c2"/>
      <w:bookmarkEnd w:id="9"/>
      <w:r>
        <w:rPr>
          <w:rFonts w:ascii="Times New Roman;Times;Serif" w:hAnsi="Times New Roman;Times;Serif"/>
          <w:b/>
          <w:i w:val="false"/>
          <w:caps w:val="false"/>
          <w:smallCaps w:val="false"/>
          <w:sz w:val="20"/>
        </w:rPr>
        <w:t xml:space="preserve">Redwood City, </w:t>
      </w:r>
      <w:bookmarkStart w:id="10" w:name="xdx_906_edei--EntityAddressStateOrProvin"/>
      <w:bookmarkEnd w:id="10"/>
      <w:r>
        <w:rPr>
          <w:rFonts w:ascii="Times New Roman;Times;Serif" w:hAnsi="Times New Roman;Times;Serif"/>
          <w:b/>
          <w:i w:val="false"/>
          <w:caps w:val="false"/>
          <w:smallCaps w:val="false"/>
          <w:sz w:val="20"/>
        </w:rPr>
        <w:t xml:space="preserve">California </w:t>
      </w:r>
      <w:bookmarkStart w:id="11" w:name="xdx_900_edei--EntityAddressPostalZipCode"/>
      <w:bookmarkEnd w:id="11"/>
      <w:r>
        <w:rPr>
          <w:rFonts w:ascii="Times New Roman;Times;Serif" w:hAnsi="Times New Roman;Times;Serif"/>
          <w:b/>
          <w:i w:val="false"/>
          <w:caps w:val="false"/>
          <w:smallCaps w:val="false"/>
          <w:sz w:val="20"/>
        </w:rPr>
        <w:t>94065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930__20"/>
      <w:bookmarkEnd w:id="12"/>
      <w:r>
        <w:rPr>
          <w:rFonts w:ascii="Times New Roman;Times;Serif" w:hAnsi="Times New Roman;Times;Serif"/>
          <w:b/>
          <w:i w:val="false"/>
          <w:caps w:val="false"/>
          <w:smallCaps w:val="false"/>
          <w:sz w:val="20"/>
        </w:rPr>
        <w:t xml:space="preserve">650) </w:t>
      </w:r>
      <w:bookmarkStart w:id="13" w:name="xdx_906_edei--LocalPhoneNumber_c20260930"/>
      <w:bookmarkEnd w:id="13"/>
      <w:r>
        <w:rPr>
          <w:rFonts w:ascii="Times New Roman;Times;Serif" w:hAnsi="Times New Roman;Times;Serif"/>
          <w:b/>
          <w:i w:val="false"/>
          <w:caps w:val="false"/>
          <w:smallCaps w:val="false"/>
          <w:sz w:val="20"/>
        </w:rPr>
        <w:t>549-1400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1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jc w:val="left"/>
        <w:rPr>
          <w:caps w:val="false"/>
          <w:smallCaps w:val="false"/>
        </w:rPr>
      </w:pPr>
      <w:r>
        <w:rPr>
          <w:caps w:val="false"/>
          <w:smallCaps w:val="false"/>
        </w:rPr>
        <w:t> </w:t>
      </w:r>
    </w:p>
    <w:tbl>
      <w:tblPr>
        <w:tblW w:w="9450" w:type="dxa"/>
        <w:jc w:val="left"/>
        <w:tblInd w:w="0" w:type="dxa"/>
        <w:tblLayout w:type="fixed"/>
        <w:tblCellMar>
          <w:top w:w="0" w:type="dxa"/>
          <w:left w:w="0" w:type="dxa"/>
          <w:bottom w:w="28" w:type="dxa"/>
          <w:right w:w="0" w:type="dxa"/>
        </w:tblCellMar>
      </w:tblPr>
      <w:tblGrid>
        <w:gridCol w:w="4400"/>
        <w:gridCol w:w="60"/>
        <w:gridCol w:w="1535"/>
        <w:gridCol w:w="60"/>
        <w:gridCol w:w="3395"/>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3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 registered)</w:t>
            </w:r>
          </w:p>
        </w:tc>
      </w:tr>
      <w:tr>
        <w:trPr/>
        <w:tc>
          <w:tcPr>
            <w:tcW w:w="4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2_edei--Security12bTitle_c20260930"/>
            <w:bookmarkEnd w:id="18"/>
            <w:r>
              <w:rPr>
                <w:rFonts w:ascii="Times New Roman;Times;Serif" w:hAnsi="Times New Roman;Times;Serif"/>
                <w:b/>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B_edei--TradingSymbol_c20260930__2"/>
            <w:bookmarkEnd w:id="19"/>
            <w:r>
              <w:rPr>
                <w:rFonts w:ascii="Times New Roman;Times;Serif" w:hAnsi="Times New Roman;Times;Serif"/>
                <w:b/>
                <w:sz w:val="20"/>
              </w:rPr>
              <w:t>JSPR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9_edei--SecurityExchangeName_c2026"/>
            <w:bookmarkEnd w:id="20"/>
            <w:r>
              <w:rPr>
                <w:rFonts w:ascii="Times New Roman;Times;Serif" w:hAnsi="Times New Roman;Times;Serif"/>
                <w:b/>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Jasper Therapeutics, Inc. (the “Company”) held a special meeting of stockholders (the “Special Meeting”). At the Special Meeting, a total of 21,747,865 shares of the Company’s voting common stock, $0.0001 par value per share (the “Common Stock”), or approximately 65.36% of the 33,274,561 shares of the Common Stock issued and outstanding as of August 10, 2026, the record date for the Special Meeting, were represented virtually or by proxy.</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the Company’s stockholders considered three proposals, each of which is described in more detail in the Company’s definitive proxy statement filed with the Securities and Exchange Commission on September 4, 2026.</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brief description of each proposal voted upon at the Special Meeting and the voting results with respect to each proposal. Each proposal was approved at the Special Meeting.</w:t>
      </w:r>
    </w:p>
    <w:p>
      <w:pPr>
        <w:pStyle w:val="TextBody"/>
        <w:shd w:fill="FFFFFF" w:val="clear"/>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To approve an amendment to the Company’s Second Amended and Restated Certificate of Incorporation, as amended (the “Certificate of Incorporation”), to effect, in the sole discretion of the Company’s Board of Directors (the “Board”) at any time on or before December 31, 2026, a reverse stock split of the Common Stock, at a ratio to be determined by the Board within a range of 1-for-15 to 1-for-35 (or any number in between), without reducing the authorized number of shares of Common Stock, and without further approval or authorization of the Company’s stockholders (the “Reverse Stock Split Proposal”).</w:t>
      </w:r>
    </w:p>
    <w:p>
      <w:pPr>
        <w:pStyle w:val="TextBody"/>
        <w:bidi w:val="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21,088,353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567,692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To approve an amendment to the Certificate of Incorporation to increase the total number of authorized shares of Common Stock from 490,000,000 shares to 675,000,000 shares, to be effected in the sole discretion of the Board (the “Authorized Share Increase Proposal”).</w:t>
      </w:r>
    </w:p>
    <w:p>
      <w:pPr>
        <w:pStyle w:val="TextBody"/>
        <w:bidi w:val="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20,722,644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903,655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121,566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To approve the adjournment of the Special Meeting, if necessary, to solicit additional proxies if there were not sufficient votes in favor of the Reverse Stock Split Proposal or the Authorized Share Increase Proposal (the “Adjournment Proposal”).</w:t>
      </w:r>
    </w:p>
    <w:p>
      <w:pPr>
        <w:pStyle w:val="TextBody"/>
        <w:bidi w:val="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20,938,915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528,123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280,827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4688" w:type="dxa"/>
        <w:jc w:val="left"/>
        <w:tblInd w:w="0" w:type="dxa"/>
        <w:tblLayout w:type="fixed"/>
        <w:tblCellMar>
          <w:top w:w="0" w:type="dxa"/>
          <w:left w:w="0" w:type="dxa"/>
          <w:bottom w:w="0" w:type="dxa"/>
          <w:right w:w="0" w:type="dxa"/>
        </w:tblCellMar>
      </w:tblPr>
      <w:tblGrid>
        <w:gridCol w:w="1820"/>
        <w:gridCol w:w="327"/>
        <w:gridCol w:w="603"/>
        <w:gridCol w:w="1938"/>
      </w:tblGrid>
      <w:tr>
        <w:trPr/>
        <w:tc>
          <w:tcPr>
            <w:tcW w:w="1820"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JASPER THERAPEUTICS, INC. </w:t>
            </w:r>
          </w:p>
        </w:tc>
      </w:tr>
      <w:tr>
        <w:trPr/>
        <w:tc>
          <w:tcPr>
            <w:tcW w:w="1820"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5, 2026</w:t>
            </w:r>
          </w:p>
        </w:tc>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4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Herb Cross</w:t>
            </w:r>
          </w:p>
        </w:tc>
      </w:tr>
      <w:tr>
        <w:trPr/>
        <w:tc>
          <w:tcPr>
            <w:tcW w:w="182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w:t>
            </w:r>
          </w:p>
        </w:tc>
      </w:tr>
      <w:tr>
        <w:trPr/>
        <w:tc>
          <w:tcPr>
            <w:tcW w:w="182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3969</Characters>
  <CharactersWithSpaces>4700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