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mc:AlternateContent>
          <mc:Choice Requires="wps">
            <w:drawing>
              <wp:anchor simplePos="0" relativeHeight="251657728" behindDoc="1" locked="0" layoutInCell="0" allowOverlap="1">
                <wp:simplePos x="0" y="0"/>
                <wp:positionH relativeFrom="page">
                  <wp:posOffset>457200</wp:posOffset>
                </wp:positionH>
                <wp:positionV relativeFrom="page">
                  <wp:posOffset>454660</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5.8pt" to="576pt,35.8pt" o:allowincell="f" strokecolor="#000000"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480060</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7.8pt" to="576pt,37.8pt" o:allowincell="f" strokecolor="#000000" strokeweight="0.5009pt">
                <w10:wrap anchorx="page" anchory="page"/>
              </v:line>
            </w:pict>
          </mc:Fallback>
        </mc:AlternateContent>
        <w:t>UNITED STATES</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ind w:left="4300"/>
        <w:spacing w:after="0" w:line="187" w:lineRule="auto"/>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(Mark One)</w:t>
      </w:r>
    </w:p>
    <w:p>
      <w:pPr>
        <w:jc w:val="center"/>
        <w:spacing w:after="0" w:line="226" w:lineRule="auto"/>
        <w:rPr>
          <w:sz w:val="20"/>
          <w:szCs w:val="20"/>
          <w:color w:val="auto"/>
        </w:rPr>
      </w:pPr>
      <w:r>
        <w:rPr>
          <w:rFonts w:ascii="PMingLiU" w:cs="PMingLiU" w:eastAsia="PMingLiU" w:hAnsi="PMingLiU"/>
          <w:sz w:val="20"/>
          <w:szCs w:val="20"/>
          <w:color w:val="auto"/>
        </w:rPr>
        <w:t xml:space="preserve">6 </w:t>
      </w: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the fiscal year ended December 31, 2025</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75" w:lineRule="exact"/>
        <w:rPr>
          <w:sz w:val="24"/>
          <w:szCs w:val="24"/>
          <w:color w:val="auto"/>
        </w:rPr>
      </w:pPr>
    </w:p>
    <w:p>
      <w:pPr>
        <w:jc w:val="center"/>
        <w:ind w:left="3060" w:right="240" w:hanging="2826"/>
        <w:spacing w:after="0" w:line="283" w:lineRule="auto"/>
        <w:tabs>
          <w:tab w:leader="none" w:pos="459"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 xml:space="preserve">TRANSITION REPORT PURSUANT TO SECTION 13 OR 15(d) OF THE SECURITIES EXCHANGE ACT OF 1934 </w:t>
      </w:r>
      <w:r>
        <w:rPr>
          <w:rFonts w:ascii="Times New Roman" w:cs="Times New Roman" w:eastAsia="Times New Roman" w:hAnsi="Times New Roman"/>
          <w:sz w:val="20"/>
          <w:szCs w:val="20"/>
          <w:color w:val="auto"/>
        </w:rPr>
        <w:t>For the transition period from __________ to 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Commission File Number: 001-39138</w:t>
      </w:r>
    </w:p>
    <w:p>
      <w:pPr>
        <w:spacing w:after="0" w:line="2"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JASPER THERAPEUTICS, INC.</w:t>
      </w:r>
    </w:p>
    <w:p>
      <w:pPr>
        <w:jc w:val="center"/>
        <w:spacing w:after="0" w:line="213" w:lineRule="auto"/>
        <w:rPr>
          <w:sz w:val="20"/>
          <w:szCs w:val="20"/>
          <w:color w:val="auto"/>
        </w:rPr>
      </w:pPr>
      <w:r>
        <w:rPr>
          <w:rFonts w:ascii="Times New Roman" w:cs="Times New Roman" w:eastAsia="Times New Roman" w:hAnsi="Times New Roman"/>
          <w:sz w:val="20"/>
          <w:szCs w:val="20"/>
          <w:color w:val="auto"/>
        </w:rPr>
        <w:t>(Exact name of registrant as specified in its charter)</w:t>
      </w:r>
    </w:p>
    <w:p>
      <w:pPr>
        <w:ind w:left="4300"/>
        <w:spacing w:after="0" w:line="187" w:lineRule="auto"/>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4500" w:type="dxa"/>
            <w:vAlign w:val="bottom"/>
          </w:tcPr>
          <w:p>
            <w:pPr>
              <w:jc w:val="center"/>
              <w:ind w:left="740"/>
              <w:spacing w:after="0"/>
              <w:rPr>
                <w:sz w:val="20"/>
                <w:szCs w:val="20"/>
                <w:color w:val="auto"/>
              </w:rPr>
            </w:pPr>
            <w:r>
              <w:rPr>
                <w:rFonts w:ascii="Times New Roman" w:cs="Times New Roman" w:eastAsia="Times New Roman" w:hAnsi="Times New Roman"/>
                <w:sz w:val="20"/>
                <w:szCs w:val="20"/>
                <w:b w:val="1"/>
                <w:bCs w:val="1"/>
                <w:color w:val="auto"/>
                <w:w w:val="96"/>
              </w:rPr>
              <w:t>Delaware</w:t>
            </w:r>
          </w:p>
        </w:tc>
        <w:tc>
          <w:tcPr>
            <w:tcW w:w="6180" w:type="dxa"/>
            <w:vAlign w:val="bottom"/>
            <w:gridSpan w:val="3"/>
          </w:tcPr>
          <w:p>
            <w:pPr>
              <w:jc w:val="right"/>
              <w:ind w:right="2000"/>
              <w:spacing w:after="0"/>
              <w:rPr>
                <w:sz w:val="20"/>
                <w:szCs w:val="20"/>
                <w:color w:val="auto"/>
              </w:rPr>
            </w:pPr>
            <w:r>
              <w:rPr>
                <w:rFonts w:ascii="Times New Roman" w:cs="Times New Roman" w:eastAsia="Times New Roman" w:hAnsi="Times New Roman"/>
                <w:sz w:val="20"/>
                <w:szCs w:val="20"/>
                <w:b w:val="1"/>
                <w:bCs w:val="1"/>
                <w:color w:val="auto"/>
              </w:rPr>
              <w:t>84-2984849</w:t>
            </w:r>
          </w:p>
        </w:tc>
      </w:tr>
      <w:tr>
        <w:trPr>
          <w:trHeight w:val="221"/>
        </w:trPr>
        <w:tc>
          <w:tcPr>
            <w:tcW w:w="4500" w:type="dxa"/>
            <w:vAlign w:val="bottom"/>
            <w:tcBorders>
              <w:top w:val="single" w:sz="8" w:color="auto"/>
            </w:tcBorders>
          </w:tcPr>
          <w:p>
            <w:pPr>
              <w:jc w:val="center"/>
              <w:ind w:left="800"/>
              <w:spacing w:after="0" w:line="221"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Borders>
              <w:top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color w:val="auto"/>
                <w:w w:val="99"/>
              </w:rPr>
              <w:t>(I.R.S. Employer</w:t>
            </w:r>
          </w:p>
        </w:tc>
      </w:tr>
      <w:tr>
        <w:trPr>
          <w:trHeight w:val="223"/>
        </w:trPr>
        <w:tc>
          <w:tcPr>
            <w:tcW w:w="4500" w:type="dxa"/>
            <w:vAlign w:val="bottom"/>
          </w:tcPr>
          <w:p>
            <w:pPr>
              <w:jc w:val="center"/>
              <w:ind w:left="800"/>
              <w:spacing w:after="0" w:line="223" w:lineRule="exact"/>
              <w:rPr>
                <w:sz w:val="20"/>
                <w:szCs w:val="20"/>
                <w:color w:val="auto"/>
              </w:rPr>
            </w:pPr>
            <w:r>
              <w:rPr>
                <w:rFonts w:ascii="Times New Roman" w:cs="Times New Roman" w:eastAsia="Times New Roman" w:hAnsi="Times New Roman"/>
                <w:sz w:val="20"/>
                <w:szCs w:val="20"/>
                <w:color w:val="auto"/>
                <w:w w:val="99"/>
              </w:rPr>
              <w:t>incorporation or organization)</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jc w:val="center"/>
              <w:spacing w:after="0" w:line="223" w:lineRule="exact"/>
              <w:rPr>
                <w:sz w:val="20"/>
                <w:szCs w:val="20"/>
                <w:color w:val="auto"/>
              </w:rPr>
            </w:pPr>
            <w:r>
              <w:rPr>
                <w:rFonts w:ascii="Times New Roman" w:cs="Times New Roman" w:eastAsia="Times New Roman" w:hAnsi="Times New Roman"/>
                <w:sz w:val="20"/>
                <w:szCs w:val="20"/>
                <w:color w:val="auto"/>
              </w:rPr>
              <w:t>Identification No.)</w:t>
            </w:r>
          </w:p>
        </w:tc>
      </w:tr>
      <w:tr>
        <w:trPr>
          <w:trHeight w:val="315"/>
        </w:trPr>
        <w:tc>
          <w:tcPr>
            <w:tcW w:w="4500" w:type="dxa"/>
            <w:vAlign w:val="bottom"/>
          </w:tcPr>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2200 Bridge Pkwy Suite #102</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31"/>
        </w:trPr>
        <w:tc>
          <w:tcPr>
            <w:tcW w:w="4500" w:type="dxa"/>
            <w:vAlign w:val="bottom"/>
          </w:tcPr>
          <w:p>
            <w:pPr>
              <w:jc w:val="center"/>
              <w:ind w:left="740"/>
              <w:spacing w:after="0" w:line="225" w:lineRule="exact"/>
              <w:rPr>
                <w:sz w:val="20"/>
                <w:szCs w:val="20"/>
                <w:color w:val="auto"/>
              </w:rPr>
            </w:pPr>
            <w:r>
              <w:rPr>
                <w:rFonts w:ascii="Times New Roman" w:cs="Times New Roman" w:eastAsia="Times New Roman" w:hAnsi="Times New Roman"/>
                <w:sz w:val="20"/>
                <w:szCs w:val="20"/>
                <w:b w:val="1"/>
                <w:bCs w:val="1"/>
                <w:color w:val="auto"/>
                <w:w w:val="98"/>
              </w:rPr>
              <w:t>Redwood City, CA</w:t>
            </w:r>
          </w:p>
        </w:tc>
        <w:tc>
          <w:tcPr>
            <w:tcW w:w="6180" w:type="dxa"/>
            <w:vAlign w:val="bottom"/>
            <w:gridSpan w:val="3"/>
          </w:tcPr>
          <w:p>
            <w:pPr>
              <w:jc w:val="right"/>
              <w:ind w:right="2220"/>
              <w:spacing w:after="0" w:line="225" w:lineRule="exact"/>
              <w:rPr>
                <w:sz w:val="20"/>
                <w:szCs w:val="20"/>
                <w:color w:val="auto"/>
              </w:rPr>
            </w:pPr>
            <w:r>
              <w:rPr>
                <w:rFonts w:ascii="Times New Roman" w:cs="Times New Roman" w:eastAsia="Times New Roman" w:hAnsi="Times New Roman"/>
                <w:sz w:val="20"/>
                <w:szCs w:val="20"/>
                <w:b w:val="1"/>
                <w:bCs w:val="1"/>
                <w:color w:val="auto"/>
              </w:rPr>
              <w:t>94065</w:t>
            </w:r>
          </w:p>
        </w:tc>
      </w:tr>
      <w:tr>
        <w:trPr>
          <w:trHeight w:val="224"/>
        </w:trPr>
        <w:tc>
          <w:tcPr>
            <w:tcW w:w="4500" w:type="dxa"/>
            <w:vAlign w:val="bottom"/>
            <w:tcBorders>
              <w:top w:val="single" w:sz="8" w:color="auto"/>
            </w:tcBorders>
          </w:tcPr>
          <w:p>
            <w:pPr>
              <w:jc w:val="center"/>
              <w:ind w:left="740"/>
              <w:spacing w:after="0" w:line="224" w:lineRule="exact"/>
              <w:rPr>
                <w:sz w:val="20"/>
                <w:szCs w:val="20"/>
                <w:color w:val="auto"/>
              </w:rPr>
            </w:pPr>
            <w:r>
              <w:rPr>
                <w:rFonts w:ascii="Times New Roman" w:cs="Times New Roman" w:eastAsia="Times New Roman" w:hAnsi="Times New Roman"/>
                <w:sz w:val="20"/>
                <w:szCs w:val="20"/>
                <w:color w:val="auto"/>
              </w:rPr>
              <w:t>(Address of principal executive offices)</w:t>
            </w: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Borders>
              <w:top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9"/>
              </w:rPr>
              <w:t>(Zip Code)</w:t>
            </w:r>
          </w:p>
        </w:tc>
      </w:tr>
      <w:tr>
        <w:trPr>
          <w:trHeight w:val="320"/>
        </w:trPr>
        <w:tc>
          <w:tcPr>
            <w:tcW w:w="4500" w:type="dxa"/>
            <w:vAlign w:val="bottom"/>
          </w:tcPr>
          <w:p>
            <w:pPr>
              <w:spacing w:after="0"/>
              <w:rPr>
                <w:sz w:val="24"/>
                <w:szCs w:val="24"/>
                <w:color w:val="auto"/>
              </w:rPr>
            </w:pPr>
          </w:p>
        </w:tc>
        <w:tc>
          <w:tcPr>
            <w:tcW w:w="6180" w:type="dxa"/>
            <w:vAlign w:val="bottom"/>
            <w:gridSpan w:val="3"/>
          </w:tcPr>
          <w:p>
            <w:pPr>
              <w:jc w:val="right"/>
              <w:ind w:right="4580"/>
              <w:spacing w:after="0"/>
              <w:rPr>
                <w:sz w:val="20"/>
                <w:szCs w:val="20"/>
                <w:color w:val="auto"/>
              </w:rPr>
            </w:pPr>
            <w:r>
              <w:rPr>
                <w:rFonts w:ascii="Times New Roman" w:cs="Times New Roman" w:eastAsia="Times New Roman" w:hAnsi="Times New Roman"/>
                <w:sz w:val="20"/>
                <w:szCs w:val="20"/>
                <w:b w:val="1"/>
                <w:bCs w:val="1"/>
                <w:color w:val="auto"/>
              </w:rPr>
              <w:t>(650) 549-1400</w:t>
            </w:r>
          </w:p>
        </w:tc>
      </w:tr>
    </w:tbl>
    <w:p>
      <w:pPr>
        <w:spacing w:after="0" w:line="1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ind w:left="4300"/>
        <w:spacing w:after="0" w:line="187" w:lineRule="auto"/>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90"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18"/>
                <w:szCs w:val="18"/>
                <w:color w:val="auto"/>
              </w:rPr>
            </w:pP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18"/>
                <w:szCs w:val="18"/>
                <w:color w:val="auto"/>
              </w:rPr>
            </w:pPr>
          </w:p>
        </w:tc>
        <w:tc>
          <w:tcPr>
            <w:tcW w:w="4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7"/>
        </w:trPr>
        <w:tc>
          <w:tcPr>
            <w:tcW w:w="4280" w:type="dxa"/>
            <w:vAlign w:val="bottom"/>
          </w:tcPr>
          <w:p>
            <w:pPr>
              <w:ind w:left="100"/>
              <w:spacing w:after="0" w:line="227" w:lineRule="exact"/>
              <w:rPr>
                <w:sz w:val="20"/>
                <w:szCs w:val="20"/>
                <w:color w:val="auto"/>
              </w:rPr>
            </w:pPr>
            <w:r>
              <w:rPr>
                <w:rFonts w:ascii="Times New Roman" w:cs="Times New Roman" w:eastAsia="Times New Roman" w:hAnsi="Times New Roman"/>
                <w:sz w:val="20"/>
                <w:szCs w:val="20"/>
                <w:color w:val="auto"/>
                <w:w w:val="99"/>
              </w:rPr>
              <w:t>Voting Common Stock, par value $0.0001 per share</w:t>
            </w:r>
          </w:p>
        </w:tc>
        <w:tc>
          <w:tcPr>
            <w:tcW w:w="180" w:type="dxa"/>
            <w:vAlign w:val="bottom"/>
          </w:tcPr>
          <w:p>
            <w:pPr>
              <w:spacing w:after="0"/>
              <w:rPr>
                <w:sz w:val="19"/>
                <w:szCs w:val="19"/>
                <w:color w:val="auto"/>
              </w:rPr>
            </w:pPr>
          </w:p>
        </w:tc>
        <w:tc>
          <w:tcPr>
            <w:tcW w:w="1820" w:type="dxa"/>
            <w:vAlign w:val="bottom"/>
          </w:tcPr>
          <w:p>
            <w:pPr>
              <w:jc w:val="center"/>
              <w:spacing w:after="0" w:line="227" w:lineRule="exact"/>
              <w:rPr>
                <w:sz w:val="20"/>
                <w:szCs w:val="20"/>
                <w:color w:val="auto"/>
              </w:rPr>
            </w:pPr>
            <w:r>
              <w:rPr>
                <w:rFonts w:ascii="Times New Roman" w:cs="Times New Roman" w:eastAsia="Times New Roman" w:hAnsi="Times New Roman"/>
                <w:sz w:val="20"/>
                <w:szCs w:val="20"/>
                <w:color w:val="auto"/>
              </w:rPr>
              <w:t>JSPR</w:t>
            </w:r>
          </w:p>
        </w:tc>
        <w:tc>
          <w:tcPr>
            <w:tcW w:w="180" w:type="dxa"/>
            <w:vAlign w:val="bottom"/>
          </w:tcPr>
          <w:p>
            <w:pPr>
              <w:spacing w:after="0"/>
              <w:rPr>
                <w:sz w:val="19"/>
                <w:szCs w:val="19"/>
                <w:color w:val="auto"/>
              </w:rPr>
            </w:pPr>
          </w:p>
        </w:tc>
        <w:tc>
          <w:tcPr>
            <w:tcW w:w="4220" w:type="dxa"/>
            <w:vAlign w:val="bottom"/>
          </w:tcPr>
          <w:p>
            <w:pPr>
              <w:ind w:left="880"/>
              <w:spacing w:after="0" w:line="227" w:lineRule="exact"/>
              <w:rPr>
                <w:sz w:val="20"/>
                <w:szCs w:val="20"/>
                <w:color w:val="auto"/>
              </w:rPr>
            </w:pPr>
            <w:r>
              <w:rPr>
                <w:rFonts w:ascii="Times New Roman" w:cs="Times New Roman" w:eastAsia="Times New Roman" w:hAnsi="Times New Roman"/>
                <w:sz w:val="20"/>
                <w:szCs w:val="20"/>
                <w:color w:val="auto"/>
              </w:rPr>
              <w:t>The Nasdaq Stock Market LLC</w:t>
            </w:r>
          </w:p>
        </w:tc>
      </w:tr>
      <w:tr>
        <w:trPr>
          <w:trHeight w:val="260"/>
        </w:trPr>
        <w:tc>
          <w:tcPr>
            <w:tcW w:w="428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Redeemable Warrants, each ten warrants exercisable</w:t>
            </w:r>
          </w:p>
        </w:tc>
        <w:tc>
          <w:tcPr>
            <w:tcW w:w="18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JSPRW</w:t>
            </w:r>
          </w:p>
        </w:tc>
        <w:tc>
          <w:tcPr>
            <w:tcW w:w="180" w:type="dxa"/>
            <w:vAlign w:val="bottom"/>
          </w:tcPr>
          <w:p>
            <w:pPr>
              <w:spacing w:after="0"/>
              <w:rPr>
                <w:sz w:val="22"/>
                <w:szCs w:val="22"/>
                <w:color w:val="auto"/>
              </w:rPr>
            </w:pPr>
          </w:p>
        </w:tc>
        <w:tc>
          <w:tcPr>
            <w:tcW w:w="422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The Nasdaq Stock Market LLC</w:t>
            </w:r>
          </w:p>
        </w:tc>
      </w:tr>
    </w:tbl>
    <w:p>
      <w:pPr>
        <w:jc w:val="center"/>
        <w:ind w:right="6460"/>
        <w:spacing w:after="0" w:line="229" w:lineRule="auto"/>
        <w:rPr>
          <w:sz w:val="20"/>
          <w:szCs w:val="20"/>
          <w:color w:val="auto"/>
        </w:rPr>
      </w:pPr>
      <w:r>
        <w:rPr>
          <w:rFonts w:ascii="Times New Roman" w:cs="Times New Roman" w:eastAsia="Times New Roman" w:hAnsi="Times New Roman"/>
          <w:sz w:val="20"/>
          <w:szCs w:val="20"/>
          <w:color w:val="auto"/>
        </w:rPr>
        <w:t>for one share of Voting Common Stock at an exercise</w:t>
      </w:r>
    </w:p>
    <w:p>
      <w:pPr>
        <w:jc w:val="center"/>
        <w:ind w:right="6460"/>
        <w:spacing w:after="0" w:line="230" w:lineRule="auto"/>
        <w:rPr>
          <w:sz w:val="20"/>
          <w:szCs w:val="20"/>
          <w:color w:val="auto"/>
        </w:rPr>
      </w:pPr>
      <w:r>
        <w:rPr>
          <w:rFonts w:ascii="Times New Roman" w:cs="Times New Roman" w:eastAsia="Times New Roman" w:hAnsi="Times New Roman"/>
          <w:sz w:val="20"/>
          <w:szCs w:val="20"/>
          <w:color w:val="auto"/>
        </w:rPr>
        <w:t>price of $115.00</w:t>
      </w:r>
    </w:p>
    <w:p>
      <w:pPr>
        <w:spacing w:after="0" w:line="90"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 None</w:t>
      </w:r>
    </w:p>
    <w:p>
      <w:pPr>
        <w:ind w:left="4300"/>
        <w:spacing w:after="0" w:line="208" w:lineRule="auto"/>
        <w:rPr>
          <w:sz w:val="20"/>
          <w:szCs w:val="20"/>
          <w:color w:val="auto"/>
        </w:rPr>
      </w:pPr>
      <w:r>
        <w:rPr>
          <w:rFonts w:ascii="Times New Roman" w:cs="Times New Roman" w:eastAsia="Times New Roman" w:hAnsi="Times New Roman"/>
          <w:sz w:val="12"/>
          <w:szCs w:val="12"/>
          <w:b w:val="1"/>
          <w:bCs w:val="1"/>
          <w:color w:val="auto"/>
        </w:rPr>
        <w:t>_____________________________________</w:t>
      </w:r>
    </w:p>
    <w:p>
      <w:pPr>
        <w:spacing w:after="0" w:line="54" w:lineRule="exact"/>
        <w:rPr>
          <w:sz w:val="24"/>
          <w:szCs w:val="24"/>
          <w:color w:val="auto"/>
        </w:rPr>
      </w:pPr>
    </w:p>
    <w:p>
      <w:pPr>
        <w:ind w:left="480" w:right="1820"/>
        <w:spacing w:after="0" w:line="249"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36" w:lineRule="exact"/>
        <w:rPr>
          <w:sz w:val="24"/>
          <w:szCs w:val="24"/>
          <w:color w:val="auto"/>
        </w:rPr>
      </w:pPr>
    </w:p>
    <w:p>
      <w:pPr>
        <w:ind w:right="20" w:firstLine="480"/>
        <w:spacing w:after="0" w:line="22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46" w:lineRule="exact"/>
        <w:rPr>
          <w:sz w:val="24"/>
          <w:szCs w:val="24"/>
          <w:color w:val="auto"/>
        </w:rPr>
      </w:pPr>
    </w:p>
    <w:p>
      <w:pPr>
        <w:ind w:right="20" w:firstLine="480"/>
        <w:spacing w:after="0" w:line="22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PMingLiU" w:cs="PMingLiU" w:eastAsia="PMingLiU" w:hAnsi="PMingLiU"/>
          <w:sz w:val="16"/>
          <w:szCs w:val="16"/>
          <w:color w:val="auto"/>
        </w:rPr>
        <w:t>6</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</w:t>
      </w:r>
    </w:p>
    <w:p>
      <w:pPr>
        <w:spacing w:after="0" w:line="43" w:lineRule="exact"/>
        <w:rPr>
          <w:sz w:val="24"/>
          <w:szCs w:val="24"/>
          <w:color w:val="auto"/>
        </w:rPr>
      </w:pPr>
    </w:p>
    <w:p>
      <w:pPr>
        <w:ind w:right="340" w:firstLine="480"/>
        <w:spacing w:after="0" w:line="23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48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00" w:type="dxa"/>
            <w:vAlign w:val="bottom"/>
          </w:tcPr>
          <w:p>
            <w:pPr>
              <w:jc w:val="right"/>
              <w:ind w:right="1480"/>
              <w:spacing w:after="0"/>
              <w:rPr>
                <w:sz w:val="20"/>
                <w:szCs w:val="20"/>
                <w:color w:val="auto"/>
              </w:rPr>
            </w:pPr>
            <w:r>
              <w:rPr>
                <w:rFonts w:ascii="PMingLiU" w:cs="PMingLiU" w:eastAsia="PMingLiU" w:hAnsi="PMingLiU"/>
                <w:sz w:val="16"/>
                <w:szCs w:val="16"/>
                <w:color w:val="auto"/>
              </w:rPr>
              <w:t></w:t>
            </w:r>
          </w:p>
        </w:tc>
        <w:tc>
          <w:tcPr>
            <w:tcW w:w="35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t>
            </w:r>
          </w:p>
        </w:tc>
      </w:tr>
      <w:tr>
        <w:trPr>
          <w:trHeight w:val="22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00" w:type="dxa"/>
            <w:vAlign w:val="bottom"/>
          </w:tcPr>
          <w:p>
            <w:pPr>
              <w:jc w:val="right"/>
              <w:ind w:right="1480"/>
              <w:spacing w:after="0"/>
              <w:rPr>
                <w:sz w:val="20"/>
                <w:szCs w:val="20"/>
                <w:color w:val="auto"/>
              </w:rPr>
            </w:pPr>
            <w:r>
              <w:rPr>
                <w:rFonts w:ascii="PMingLiU" w:cs="PMingLiU" w:eastAsia="PMingLiU" w:hAnsi="PMingLiU"/>
                <w:sz w:val="16"/>
                <w:szCs w:val="16"/>
                <w:color w:val="auto"/>
              </w:rPr>
              <w:t>6</w:t>
            </w:r>
          </w:p>
        </w:tc>
        <w:tc>
          <w:tcPr>
            <w:tcW w:w="35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6</w:t>
            </w:r>
          </w:p>
        </w:tc>
      </w:tr>
      <w:tr>
        <w:trPr>
          <w:trHeight w:val="223"/>
        </w:trPr>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560" w:type="dxa"/>
            <w:vAlign w:val="bottom"/>
          </w:tcPr>
          <w:p>
            <w:pPr>
              <w:ind w:left="154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jc w:val="right"/>
              <w:spacing w:after="0"/>
              <w:rPr>
                <w:sz w:val="20"/>
                <w:szCs w:val="20"/>
                <w:color w:val="auto"/>
              </w:rPr>
            </w:pPr>
            <w:r>
              <w:rPr>
                <w:rFonts w:ascii="PMingLiU" w:cs="PMingLiU" w:eastAsia="PMingLiU" w:hAnsi="PMingLiU"/>
                <w:sz w:val="16"/>
                <w:szCs w:val="16"/>
                <w:color w:val="auto"/>
              </w:rPr>
              <w:t></w:t>
            </w:r>
          </w:p>
        </w:tc>
      </w:tr>
    </w:tbl>
    <w:p>
      <w:pPr>
        <w:spacing w:after="0" w:line="93" w:lineRule="exact"/>
        <w:rPr>
          <w:sz w:val="24"/>
          <w:szCs w:val="24"/>
          <w:color w:val="auto"/>
        </w:rPr>
      </w:pPr>
    </w:p>
    <w:p>
      <w:pPr>
        <w:ind w:right="340" w:firstLine="480"/>
        <w:spacing w:after="0" w:line="22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6"/>
          <w:szCs w:val="16"/>
          <w:color w:val="auto"/>
        </w:rPr>
        <w:t></w:t>
      </w:r>
    </w:p>
    <w:p>
      <w:pPr>
        <w:spacing w:after="0" w:line="43" w:lineRule="exact"/>
        <w:rPr>
          <w:sz w:val="24"/>
          <w:szCs w:val="24"/>
          <w:color w:val="auto"/>
        </w:rPr>
      </w:pPr>
    </w:p>
    <w:p>
      <w:pPr>
        <w:ind w:firstLine="480"/>
        <w:spacing w:after="0" w:line="242"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PMingLiU" w:cs="PMingLiU" w:eastAsia="PMingLiU" w:hAnsi="PMingLiU"/>
          <w:sz w:val="15"/>
          <w:szCs w:val="15"/>
          <w:color w:val="auto"/>
        </w:rPr>
        <w:t></w:t>
      </w:r>
    </w:p>
    <w:p>
      <w:pPr>
        <w:spacing w:after="0" w:line="42" w:lineRule="exact"/>
        <w:rPr>
          <w:sz w:val="24"/>
          <w:szCs w:val="24"/>
          <w:color w:val="auto"/>
        </w:rPr>
      </w:pPr>
    </w:p>
    <w:p>
      <w:pPr>
        <w:ind w:right="220" w:firstLine="480"/>
        <w:spacing w:after="0" w:line="226"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6"/>
          <w:szCs w:val="16"/>
          <w:color w:val="auto"/>
        </w:rPr>
        <w:t></w:t>
      </w:r>
    </w:p>
    <w:p>
      <w:pPr>
        <w:spacing w:after="0" w:line="43" w:lineRule="exact"/>
        <w:rPr>
          <w:sz w:val="24"/>
          <w:szCs w:val="24"/>
          <w:color w:val="auto"/>
        </w:rPr>
      </w:pPr>
    </w:p>
    <w:p>
      <w:pPr>
        <w:ind w:right="240" w:firstLine="480"/>
        <w:spacing w:after="0" w:line="226"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6"/>
          <w:szCs w:val="16"/>
          <w:color w:val="auto"/>
        </w:rPr>
        <w:t></w:t>
      </w:r>
    </w:p>
    <w:p>
      <w:pPr>
        <w:spacing w:after="0" w:line="2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PMingLiU" w:cs="PMingLiU" w:eastAsia="PMingLiU" w:hAnsi="PMingLiU"/>
          <w:sz w:val="16"/>
          <w:szCs w:val="16"/>
          <w:color w:val="auto"/>
        </w:rPr>
        <w:t></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6</w:t>
      </w:r>
    </w:p>
    <w:p>
      <w:pPr>
        <w:spacing w:after="0" w:line="43" w:lineRule="exact"/>
        <w:rPr>
          <w:sz w:val="24"/>
          <w:szCs w:val="24"/>
          <w:color w:val="auto"/>
        </w:rPr>
      </w:pPr>
    </w:p>
    <w:p>
      <w:pPr>
        <w:ind w:right="100" w:firstLine="480"/>
        <w:spacing w:after="0" w:line="233"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30, 2025 (the last business day of the registrant’s most recently completed second fiscal quarter) was approximately $74.8 million based on the closing price of the registrant’s common stock on June 30, 2025 of $5.55 per share, as reported by the Nasdaq Capital Market.</w:t>
      </w:r>
    </w:p>
    <w:p>
      <w:pPr>
        <w:spacing w:after="0" w:line="44" w:lineRule="exact"/>
        <w:rPr>
          <w:sz w:val="24"/>
          <w:szCs w:val="24"/>
          <w:color w:val="auto"/>
        </w:rPr>
      </w:pPr>
    </w:p>
    <w:p>
      <w:pPr>
        <w:ind w:right="40" w:firstLine="480"/>
        <w:spacing w:after="0" w:line="232" w:lineRule="auto"/>
        <w:rPr>
          <w:sz w:val="20"/>
          <w:szCs w:val="20"/>
          <w:color w:val="auto"/>
        </w:rPr>
      </w:pPr>
      <w:r>
        <w:rPr>
          <w:rFonts w:ascii="Times New Roman" w:cs="Times New Roman" w:eastAsia="Times New Roman" w:hAnsi="Times New Roman"/>
          <w:sz w:val="16"/>
          <w:szCs w:val="16"/>
          <w:color w:val="auto"/>
        </w:rPr>
        <w:t>As of March 25, 2026, the number of shares of the registrant’s common stock outstanding was 27,996,819 shares of voting common stock, $0.0001 par value per share, and no shares of non-voting common stock, $0.0001 par value per share.</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46"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None.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42545</wp:posOffset>
                </wp:positionV>
                <wp:extent cx="68580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636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5pt" to="540pt,3.35pt" o:allowincell="f" strokecolor="#000000" strokeweight="0.5009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68580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540pt,5.35pt" o:allowincell="f" strokecolor="#000000" strokeweight="1.5pt"/>
            </w:pict>
          </mc:Fallback>
        </mc:AlternateContent>
      </w:r>
    </w:p>
    <w:p>
      <w:pPr>
        <w:sectPr>
          <w:pgSz w:w="12240" w:h="15840" w:orient="portrait"/>
          <w:cols w:equalWidth="0" w:num="1">
            <w:col w:w="10800"/>
          </w:cols>
          <w:pgMar w:left="720" w:top="810" w:right="720" w:bottom="150" w:gutter="0" w:footer="0" w:header="0"/>
        </w:sectPr>
      </w:pPr>
    </w:p>
    <w:bookmarkStart w:id="1" w:name="page2"/>
    <w:bookmarkEnd w:id="1"/>
    <w:p>
      <w:pPr>
        <w:ind w:left="36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5372100</wp:posOffset>
                </wp:positionH>
                <wp:positionV relativeFrom="paragraph">
                  <wp:posOffset>17780</wp:posOffset>
                </wp:positionV>
                <wp:extent cx="4953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pt,1.4pt" to="462pt,1.4pt" o:allowincell="f" strokecolor="#000000" strokeweight="0.5pt"/>
            </w:pict>
          </mc:Fallback>
        </mc:AlternateContent>
      </w:r>
    </w:p>
    <w:p>
      <w:pPr>
        <w:spacing w:after="0" w:line="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70" w:lineRule="exact"/>
        <w:rPr>
          <w:sz w:val="20"/>
          <w:szCs w:val="20"/>
          <w:color w:val="auto"/>
        </w:rPr>
      </w:pPr>
    </w:p>
    <w:p>
      <w:pPr>
        <w:spacing w:after="0"/>
        <w:tabs>
          <w:tab w:leader="none" w:pos="1000" w:val="left"/>
          <w:tab w:leader="none" w:pos="882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Business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27</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1B.</w:t>
      </w:r>
      <w:r>
        <w:rPr>
          <w:sz w:val="20"/>
          <w:szCs w:val="20"/>
          <w:color w:val="auto"/>
        </w:rPr>
        <w:tab/>
      </w:r>
      <w:r>
        <w:rPr>
          <w:rFonts w:ascii="Times New Roman" w:cs="Times New Roman" w:eastAsia="Times New Roman" w:hAnsi="Times New Roman"/>
          <w:sz w:val="20"/>
          <w:szCs w:val="20"/>
          <w:color w:val="auto"/>
        </w:rPr>
        <w:t>Unresolved Staff Comments . . . . . . . . . . . . . . . . . . . . . . . . . . . . . . . . . . . . . . . . . . . . . . . . . .</w:t>
      </w:r>
      <w:r>
        <w:rPr>
          <w:sz w:val="20"/>
          <w:szCs w:val="20"/>
          <w:color w:val="auto"/>
        </w:rPr>
        <w:tab/>
      </w:r>
      <w:r>
        <w:rPr>
          <w:rFonts w:ascii="Times New Roman" w:cs="Times New Roman" w:eastAsia="Times New Roman" w:hAnsi="Times New Roman"/>
          <w:sz w:val="20"/>
          <w:szCs w:val="20"/>
          <w:color w:val="auto"/>
        </w:rPr>
        <w:t>87</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1C.</w:t>
      </w:r>
      <w:r>
        <w:rPr>
          <w:sz w:val="20"/>
          <w:szCs w:val="20"/>
          <w:color w:val="auto"/>
        </w:rPr>
        <w:tab/>
      </w:r>
      <w:r>
        <w:rPr>
          <w:rFonts w:ascii="Times New Roman" w:cs="Times New Roman" w:eastAsia="Times New Roman" w:hAnsi="Times New Roman"/>
          <w:sz w:val="20"/>
          <w:szCs w:val="20"/>
          <w:color w:val="auto"/>
        </w:rPr>
        <w:t>Cybersecurity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88</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88</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 . . . . . . . . . . . . . . . . . . . . . . . . . . . . . . . . . . . . . . . . . . . . . . . . . . . . . . . . . .</w:t>
      </w:r>
      <w:r>
        <w:rPr>
          <w:sz w:val="20"/>
          <w:szCs w:val="20"/>
          <w:color w:val="auto"/>
        </w:rPr>
        <w:tab/>
      </w:r>
      <w:r>
        <w:rPr>
          <w:rFonts w:ascii="Times New Roman" w:cs="Times New Roman" w:eastAsia="Times New Roman" w:hAnsi="Times New Roman"/>
          <w:sz w:val="20"/>
          <w:szCs w:val="20"/>
          <w:color w:val="auto"/>
        </w:rPr>
        <w:t>89</w:t>
      </w:r>
    </w:p>
    <w:p>
      <w:pPr>
        <w:spacing w:after="0" w:line="30"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 . . . . . . . . . . . . . . . . . . . . . . . . . . . . . . . . . . . . . . . . . . . . . . . . . . . . .</w:t>
      </w:r>
      <w:r>
        <w:rPr>
          <w:sz w:val="20"/>
          <w:szCs w:val="20"/>
          <w:color w:val="auto"/>
        </w:rPr>
        <w:tab/>
      </w:r>
      <w:r>
        <w:rPr>
          <w:rFonts w:ascii="Times New Roman" w:cs="Times New Roman" w:eastAsia="Times New Roman" w:hAnsi="Times New Roman"/>
          <w:sz w:val="20"/>
          <w:szCs w:val="20"/>
          <w:color w:val="auto"/>
        </w:rPr>
        <w:t>89</w:t>
      </w:r>
    </w:p>
    <w:p>
      <w:pPr>
        <w:spacing w:after="0" w:line="17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7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p>
    <w:p>
      <w:pPr>
        <w:ind w:left="12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Purchases of Equity Securities . . . . . . . . . . . .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line="31" w:lineRule="exact"/>
        <w:rPr>
          <w:sz w:val="20"/>
          <w:szCs w:val="20"/>
          <w:color w:val="auto"/>
        </w:rPr>
      </w:pPr>
    </w:p>
    <w:p>
      <w:pPr>
        <w:spacing w:after="0"/>
        <w:tabs>
          <w:tab w:leader="none" w:pos="1000" w:val="left"/>
          <w:tab w:leader="none" w:pos="876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20"/>
          <w:szCs w:val="20"/>
          <w:color w:val="auto"/>
        </w:rPr>
        <w:t>[Reserved]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line="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Management’s Discussion and Analysis of Financial Condition and Results of</w:t>
      </w:r>
    </w:p>
    <w:p>
      <w:pPr>
        <w:ind w:left="1220"/>
        <w:spacing w:after="0" w:line="229" w:lineRule="auto"/>
        <w:tabs>
          <w:tab w:leader="none" w:pos="8760" w:val="left"/>
        </w:tabs>
        <w:rPr>
          <w:sz w:val="20"/>
          <w:szCs w:val="20"/>
          <w:color w:val="auto"/>
        </w:rPr>
      </w:pPr>
      <w:r>
        <w:rPr>
          <w:rFonts w:ascii="Times New Roman" w:cs="Times New Roman" w:eastAsia="Times New Roman" w:hAnsi="Times New Roman"/>
          <w:sz w:val="20"/>
          <w:szCs w:val="20"/>
          <w:color w:val="auto"/>
        </w:rPr>
        <w:t>Operations . . . . . . . . . . . . . . . . . . . . . . . . . . . . . . . . . . . . . . . . . . . . . . . . . . . . . . . . . .</w:t>
      </w:r>
      <w:r>
        <w:rPr>
          <w:sz w:val="20"/>
          <w:szCs w:val="20"/>
          <w:color w:val="auto"/>
        </w:rPr>
        <w:tab/>
      </w:r>
      <w:r>
        <w:rPr>
          <w:rFonts w:ascii="Times New Roman" w:cs="Times New Roman" w:eastAsia="Times New Roman" w:hAnsi="Times New Roman"/>
          <w:sz w:val="20"/>
          <w:szCs w:val="20"/>
          <w:color w:val="auto"/>
        </w:rPr>
        <w:t>90</w:t>
      </w:r>
    </w:p>
    <w:p>
      <w:pPr>
        <w:spacing w:after="0" w:line="31"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 . . . . . . . . . . .</w:t>
      </w:r>
      <w:r>
        <w:rPr>
          <w:sz w:val="20"/>
          <w:szCs w:val="20"/>
          <w:color w:val="auto"/>
        </w:rPr>
        <w:tab/>
      </w:r>
      <w:r>
        <w:rPr>
          <w:rFonts w:ascii="Times New Roman" w:cs="Times New Roman" w:eastAsia="Times New Roman" w:hAnsi="Times New Roman"/>
          <w:sz w:val="20"/>
          <w:szCs w:val="20"/>
          <w:color w:val="auto"/>
        </w:rPr>
        <w:t>105</w:t>
      </w:r>
    </w:p>
    <w:p>
      <w:pPr>
        <w:spacing w:after="0" w:line="30"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20"/>
          <w:szCs w:val="20"/>
          <w:color w:val="auto"/>
        </w:rPr>
        <w:t>Financial Statements and Supplementary Data . . . . . . . . . . . . . . . . . . . . . . . . . . . . . . . . . . . .</w:t>
      </w:r>
      <w:r>
        <w:rPr>
          <w:sz w:val="20"/>
          <w:szCs w:val="20"/>
          <w:color w:val="auto"/>
        </w:rPr>
        <w:tab/>
      </w:r>
      <w:r>
        <w:rPr>
          <w:rFonts w:ascii="Times New Roman" w:cs="Times New Roman" w:eastAsia="Times New Roman" w:hAnsi="Times New Roman"/>
          <w:sz w:val="20"/>
          <w:szCs w:val="20"/>
          <w:color w:val="auto"/>
        </w:rPr>
        <w:t>F-1</w:t>
      </w:r>
    </w:p>
    <w:p>
      <w:pPr>
        <w:spacing w:after="0" w:line="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20"/>
          <w:szCs w:val="20"/>
          <w:color w:val="auto"/>
        </w:rPr>
        <w:t>Changes in and Disagreements With Accountants on Accounting and Financial</w:t>
      </w:r>
    </w:p>
    <w:p>
      <w:pPr>
        <w:ind w:left="1220"/>
        <w:spacing w:after="0" w:line="229" w:lineRule="auto"/>
        <w:tabs>
          <w:tab w:leader="none" w:pos="8720" w:val="left"/>
        </w:tabs>
        <w:rPr>
          <w:sz w:val="20"/>
          <w:szCs w:val="20"/>
          <w:color w:val="auto"/>
        </w:rPr>
      </w:pPr>
      <w:r>
        <w:rPr>
          <w:rFonts w:ascii="Times New Roman" w:cs="Times New Roman" w:eastAsia="Times New Roman" w:hAnsi="Times New Roman"/>
          <w:sz w:val="20"/>
          <w:szCs w:val="20"/>
          <w:color w:val="auto"/>
        </w:rPr>
        <w:t>Disclosure . . . . . . . . . . . . . . . . . . . . . . . . . . . . . . . . . . . . . . . . . . . . . . . . . . . . . . . . . . .</w:t>
      </w:r>
      <w:r>
        <w:rPr>
          <w:sz w:val="20"/>
          <w:szCs w:val="20"/>
          <w:color w:val="auto"/>
        </w:rPr>
        <w:tab/>
      </w:r>
      <w:r>
        <w:rPr>
          <w:rFonts w:ascii="Times New Roman" w:cs="Times New Roman" w:eastAsia="Times New Roman" w:hAnsi="Times New Roman"/>
          <w:sz w:val="20"/>
          <w:szCs w:val="20"/>
          <w:color w:val="auto"/>
        </w:rPr>
        <w:t>106</w:t>
      </w:r>
    </w:p>
    <w:p>
      <w:pPr>
        <w:spacing w:after="0" w:line="31"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w:t>
      </w:r>
      <w:r>
        <w:rPr>
          <w:sz w:val="20"/>
          <w:szCs w:val="20"/>
          <w:color w:val="auto"/>
        </w:rPr>
        <w:tab/>
      </w:r>
      <w:r>
        <w:rPr>
          <w:rFonts w:ascii="Times New Roman" w:cs="Times New Roman" w:eastAsia="Times New Roman" w:hAnsi="Times New Roman"/>
          <w:sz w:val="20"/>
          <w:szCs w:val="20"/>
          <w:color w:val="auto"/>
        </w:rPr>
        <w:t>106</w:t>
      </w:r>
    </w:p>
    <w:p>
      <w:pPr>
        <w:spacing w:after="0" w:line="30"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9B.</w:t>
      </w:r>
      <w:r>
        <w:rPr>
          <w:sz w:val="20"/>
          <w:szCs w:val="20"/>
          <w:color w:val="auto"/>
        </w:rPr>
        <w:tab/>
      </w:r>
      <w:r>
        <w:rPr>
          <w:rFonts w:ascii="Times New Roman" w:cs="Times New Roman" w:eastAsia="Times New Roman" w:hAnsi="Times New Roman"/>
          <w:sz w:val="20"/>
          <w:szCs w:val="20"/>
          <w:color w:val="auto"/>
        </w:rPr>
        <w:t>Other Information . . . . . . . . . . . . . . . . . . . . . . . . . . . . . . . . . . . . . . . . . . . . . . . . . . . . . . . . . .</w:t>
      </w:r>
      <w:r>
        <w:rPr>
          <w:sz w:val="20"/>
          <w:szCs w:val="20"/>
          <w:color w:val="auto"/>
        </w:rPr>
        <w:tab/>
      </w:r>
      <w:r>
        <w:rPr>
          <w:rFonts w:ascii="Times New Roman" w:cs="Times New Roman" w:eastAsia="Times New Roman" w:hAnsi="Times New Roman"/>
          <w:sz w:val="20"/>
          <w:szCs w:val="20"/>
          <w:color w:val="auto"/>
        </w:rPr>
        <w:t>106</w:t>
      </w:r>
    </w:p>
    <w:p>
      <w:pPr>
        <w:spacing w:after="0" w:line="30"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9C.</w:t>
      </w:r>
      <w:r>
        <w:rPr>
          <w:sz w:val="20"/>
          <w:szCs w:val="20"/>
          <w:color w:val="auto"/>
        </w:rPr>
        <w:tab/>
      </w:r>
      <w:r>
        <w:rPr>
          <w:rFonts w:ascii="Times New Roman" w:cs="Times New Roman" w:eastAsia="Times New Roman" w:hAnsi="Times New Roman"/>
          <w:sz w:val="20"/>
          <w:szCs w:val="20"/>
          <w:color w:val="auto"/>
        </w:rPr>
        <w:t>Disclosure Regarding Foreign Jurisdictions that Prevent Inspections . . . . . . . . . . . . . . . . . .</w:t>
      </w:r>
      <w:r>
        <w:rPr>
          <w:sz w:val="20"/>
          <w:szCs w:val="20"/>
          <w:color w:val="auto"/>
        </w:rPr>
        <w:tab/>
      </w:r>
      <w:r>
        <w:rPr>
          <w:rFonts w:ascii="Times New Roman" w:cs="Times New Roman" w:eastAsia="Times New Roman" w:hAnsi="Times New Roman"/>
          <w:sz w:val="20"/>
          <w:szCs w:val="20"/>
          <w:color w:val="auto"/>
        </w:rPr>
        <w:t>106</w:t>
      </w:r>
    </w:p>
    <w:p>
      <w:pPr>
        <w:spacing w:after="0" w:line="17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70"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 . . . . . . . . . . . . . . . . . . . . . . . . . . .</w:t>
      </w:r>
      <w:r>
        <w:rPr>
          <w:sz w:val="20"/>
          <w:szCs w:val="20"/>
          <w:color w:val="auto"/>
        </w:rPr>
        <w:tab/>
      </w:r>
      <w:r>
        <w:rPr>
          <w:rFonts w:ascii="Times New Roman" w:cs="Times New Roman" w:eastAsia="Times New Roman" w:hAnsi="Times New Roman"/>
          <w:sz w:val="20"/>
          <w:szCs w:val="20"/>
          <w:color w:val="auto"/>
        </w:rPr>
        <w:t>107</w:t>
      </w:r>
    </w:p>
    <w:p>
      <w:pPr>
        <w:spacing w:after="0" w:line="30"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11.</w:t>
      </w:r>
      <w:r>
        <w:rPr>
          <w:sz w:val="20"/>
          <w:szCs w:val="20"/>
          <w:color w:val="auto"/>
        </w:rPr>
        <w:tab/>
      </w:r>
      <w:r>
        <w:rPr>
          <w:rFonts w:ascii="Times New Roman" w:cs="Times New Roman" w:eastAsia="Times New Roman" w:hAnsi="Times New Roman"/>
          <w:sz w:val="20"/>
          <w:szCs w:val="20"/>
          <w:color w:val="auto"/>
        </w:rPr>
        <w:t>Executive Compensation . . . . . . . . . . . . . . . . . . . . . . . . . . . . . . . . . . . . . . . . . . . . . . . . . . . . .</w:t>
      </w:r>
      <w:r>
        <w:rPr>
          <w:sz w:val="20"/>
          <w:szCs w:val="20"/>
          <w:color w:val="auto"/>
        </w:rPr>
        <w:tab/>
      </w:r>
      <w:r>
        <w:rPr>
          <w:rFonts w:ascii="Times New Roman" w:cs="Times New Roman" w:eastAsia="Times New Roman" w:hAnsi="Times New Roman"/>
          <w:sz w:val="20"/>
          <w:szCs w:val="20"/>
          <w:color w:val="auto"/>
        </w:rPr>
        <w:t>107</w:t>
      </w:r>
    </w:p>
    <w:p>
      <w:pPr>
        <w:spacing w:after="0" w:line="3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12.</w:t>
      </w:r>
      <w:r>
        <w:rPr>
          <w:sz w:val="20"/>
          <w:szCs w:val="20"/>
          <w:color w:val="auto"/>
        </w:rPr>
        <w:tab/>
      </w:r>
      <w:r>
        <w:rPr>
          <w:rFonts w:ascii="Times New Roman" w:cs="Times New Roman" w:eastAsia="Times New Roman" w:hAnsi="Times New Roman"/>
          <w:sz w:val="20"/>
          <w:szCs w:val="20"/>
          <w:color w:val="auto"/>
        </w:rPr>
        <w:t>Security Ownership of Certain Beneficial Owners and Management and Related</w:t>
      </w:r>
    </w:p>
    <w:p>
      <w:pPr>
        <w:ind w:left="1220"/>
        <w:spacing w:after="0" w:line="229" w:lineRule="auto"/>
        <w:tabs>
          <w:tab w:leader="none" w:pos="8720" w:val="left"/>
        </w:tabs>
        <w:rPr>
          <w:sz w:val="20"/>
          <w:szCs w:val="20"/>
          <w:color w:val="auto"/>
        </w:rPr>
      </w:pPr>
      <w:r>
        <w:rPr>
          <w:rFonts w:ascii="Times New Roman" w:cs="Times New Roman" w:eastAsia="Times New Roman" w:hAnsi="Times New Roman"/>
          <w:sz w:val="20"/>
          <w:szCs w:val="20"/>
          <w:color w:val="auto"/>
        </w:rPr>
        <w:t>Stockholder Matters . . . . . . . . . . . . . . . . . . . . . . . . . . . . . . . . . . . . . . . . . . . . . . . . . . . . . .</w:t>
      </w:r>
      <w:r>
        <w:rPr>
          <w:sz w:val="20"/>
          <w:szCs w:val="20"/>
          <w:color w:val="auto"/>
        </w:rPr>
        <w:tab/>
      </w:r>
      <w:r>
        <w:rPr>
          <w:rFonts w:ascii="Times New Roman" w:cs="Times New Roman" w:eastAsia="Times New Roman" w:hAnsi="Times New Roman"/>
          <w:sz w:val="20"/>
          <w:szCs w:val="20"/>
          <w:color w:val="auto"/>
        </w:rPr>
        <w:t>107</w:t>
      </w:r>
    </w:p>
    <w:p>
      <w:pPr>
        <w:spacing w:after="0" w:line="31"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 . . . . . . . . . . . .</w:t>
      </w:r>
      <w:r>
        <w:rPr>
          <w:sz w:val="20"/>
          <w:szCs w:val="20"/>
          <w:color w:val="auto"/>
        </w:rPr>
        <w:tab/>
      </w:r>
      <w:r>
        <w:rPr>
          <w:rFonts w:ascii="Times New Roman" w:cs="Times New Roman" w:eastAsia="Times New Roman" w:hAnsi="Times New Roman"/>
          <w:sz w:val="20"/>
          <w:szCs w:val="20"/>
          <w:color w:val="auto"/>
        </w:rPr>
        <w:t>107</w:t>
      </w:r>
    </w:p>
    <w:p>
      <w:pPr>
        <w:spacing w:after="0" w:line="17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70"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 . . . . . . . . . . . . . . . . . . . . . . . . . . . . . . . . . . . . . . . . .</w:t>
      </w:r>
      <w:r>
        <w:rPr>
          <w:sz w:val="20"/>
          <w:szCs w:val="20"/>
          <w:color w:val="auto"/>
        </w:rPr>
        <w:tab/>
      </w:r>
      <w:r>
        <w:rPr>
          <w:rFonts w:ascii="Times New Roman" w:cs="Times New Roman" w:eastAsia="Times New Roman" w:hAnsi="Times New Roman"/>
          <w:sz w:val="20"/>
          <w:szCs w:val="20"/>
          <w:color w:val="auto"/>
        </w:rPr>
        <w:t>108</w:t>
      </w:r>
    </w:p>
    <w:p>
      <w:pPr>
        <w:spacing w:after="0" w:line="30"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15.</w:t>
      </w:r>
      <w:r>
        <w:rPr>
          <w:sz w:val="20"/>
          <w:szCs w:val="20"/>
          <w:color w:val="auto"/>
        </w:rPr>
        <w:tab/>
      </w:r>
      <w:r>
        <w:rPr>
          <w:rFonts w:ascii="Times New Roman" w:cs="Times New Roman" w:eastAsia="Times New Roman" w:hAnsi="Times New Roman"/>
          <w:sz w:val="20"/>
          <w:szCs w:val="20"/>
          <w:color w:val="auto"/>
        </w:rPr>
        <w:t>Exhibit and Financial Statement Schedules . . . . . . . . . . . . . . . . . . . . . . . . . . . . . . . . . . . . . .</w:t>
      </w:r>
      <w:r>
        <w:rPr>
          <w:sz w:val="20"/>
          <w:szCs w:val="20"/>
          <w:color w:val="auto"/>
        </w:rPr>
        <w:tab/>
      </w:r>
      <w:r>
        <w:rPr>
          <w:rFonts w:ascii="Times New Roman" w:cs="Times New Roman" w:eastAsia="Times New Roman" w:hAnsi="Times New Roman"/>
          <w:sz w:val="20"/>
          <w:szCs w:val="20"/>
          <w:color w:val="auto"/>
        </w:rPr>
        <w:t>108</w:t>
      </w:r>
    </w:p>
    <w:p>
      <w:pPr>
        <w:spacing w:after="0" w:line="30" w:lineRule="exact"/>
        <w:rPr>
          <w:sz w:val="20"/>
          <w:szCs w:val="20"/>
          <w:color w:val="auto"/>
        </w:rPr>
      </w:pPr>
    </w:p>
    <w:p>
      <w:pPr>
        <w:spacing w:after="0"/>
        <w:tabs>
          <w:tab w:leader="none" w:pos="1000" w:val="left"/>
          <w:tab w:leader="none" w:pos="8720" w:val="left"/>
        </w:tabs>
        <w:rPr>
          <w:sz w:val="20"/>
          <w:szCs w:val="20"/>
          <w:color w:val="auto"/>
        </w:rPr>
      </w:pPr>
      <w:r>
        <w:rPr>
          <w:rFonts w:ascii="Times New Roman" w:cs="Times New Roman" w:eastAsia="Times New Roman" w:hAnsi="Times New Roman"/>
          <w:sz w:val="20"/>
          <w:szCs w:val="20"/>
          <w:color w:val="auto"/>
        </w:rPr>
        <w:t>Item 16.</w:t>
      </w:r>
      <w:r>
        <w:rPr>
          <w:sz w:val="20"/>
          <w:szCs w:val="20"/>
          <w:color w:val="auto"/>
        </w:rPr>
        <w:tab/>
      </w:r>
      <w:r>
        <w:rPr>
          <w:rFonts w:ascii="Times New Roman" w:cs="Times New Roman" w:eastAsia="Times New Roman" w:hAnsi="Times New Roman"/>
          <w:sz w:val="20"/>
          <w:szCs w:val="20"/>
          <w:color w:val="auto"/>
        </w:rPr>
        <w:t>Form 10–K Summary . . . . . . . . . . . . . . . . . . . . . . . . . . . . . . . . . . . . . . . . . . . . . . . . . . . . . . .</w:t>
      </w:r>
      <w:r>
        <w:rPr>
          <w:sz w:val="20"/>
          <w:szCs w:val="20"/>
          <w:color w:val="auto"/>
        </w:rPr>
        <w:tab/>
      </w:r>
      <w:r>
        <w:rPr>
          <w:rFonts w:ascii="Times New Roman" w:cs="Times New Roman" w:eastAsia="Times New Roman" w:hAnsi="Times New Roman"/>
          <w:sz w:val="20"/>
          <w:szCs w:val="20"/>
          <w:color w:val="auto"/>
        </w:rPr>
        <w:t>111</w:t>
      </w:r>
    </w:p>
    <w:p>
      <w:pPr>
        <w:sectPr>
          <w:pgSz w:w="12240" w:h="15840" w:orient="portrait"/>
          <w:cols w:equalWidth="0" w:num="1">
            <w:col w:w="9360"/>
          </w:cols>
          <w:pgMar w:left="1440" w:top="941" w:right="1440" w:bottom="4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360"/>
          </w:cols>
          <w:pgMar w:left="1440" w:top="941" w:right="1440" w:bottom="41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77" w:lineRule="exact"/>
        <w:rPr>
          <w:sz w:val="20"/>
          <w:szCs w:val="20"/>
          <w:color w:val="auto"/>
        </w:rPr>
      </w:pPr>
    </w:p>
    <w:p>
      <w:pPr>
        <w:ind w:firstLine="480"/>
        <w:spacing w:after="0" w:line="266" w:lineRule="auto"/>
        <w:rPr>
          <w:sz w:val="20"/>
          <w:szCs w:val="20"/>
          <w:color w:val="auto"/>
        </w:rPr>
      </w:pPr>
      <w:r>
        <w:rPr>
          <w:rFonts w:ascii="Times New Roman" w:cs="Times New Roman" w:eastAsia="Times New Roman" w:hAnsi="Times New Roman"/>
          <w:sz w:val="19"/>
          <w:szCs w:val="19"/>
          <w:color w:val="auto"/>
        </w:rPr>
        <w:t>As used in this Annual Report on Form 10-K, unless the context requires otherwise, references to the “Company”, “Jasper”, “we”, “us”, “our”, and similar terms refer to Jasper Therapeutics, Inc., a Delaware corporation formerly known as Amplitude Healthcare Acquisition Corporation (“AMHC”), and its consolidated subsidiary.</w:t>
      </w:r>
    </w:p>
    <w:p>
      <w:pPr>
        <w:spacing w:after="0" w:line="154" w:lineRule="exact"/>
        <w:rPr>
          <w:sz w:val="20"/>
          <w:szCs w:val="20"/>
          <w:color w:val="auto"/>
        </w:rPr>
      </w:pPr>
    </w:p>
    <w:p>
      <w:pPr>
        <w:ind w:right="60" w:firstLine="480"/>
        <w:spacing w:after="0" w:line="248" w:lineRule="auto"/>
        <w:rPr>
          <w:sz w:val="20"/>
          <w:szCs w:val="20"/>
          <w:color w:val="auto"/>
        </w:rPr>
      </w:pPr>
      <w:r>
        <w:rPr>
          <w:rFonts w:ascii="Times New Roman" w:cs="Times New Roman" w:eastAsia="Times New Roman" w:hAnsi="Times New Roman"/>
          <w:sz w:val="20"/>
          <w:szCs w:val="20"/>
          <w:color w:val="auto"/>
        </w:rPr>
        <w:t>Unless otherwise noted or the context requires otherwise, references to our “common stock” refer to our voting common stock, par value $0.0001 per share. In addition, except as otherwise indicated, all information in this Annual Report on Form 10-K gives effect to the 1-for-10 reverse stock split of the common stock that was effected on January 4, 2024.</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9360"/>
          </w:cols>
          <w:pgMar w:left="1440" w:top="941" w:right="1440" w:bottom="348"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57" w:lineRule="exact"/>
        <w:rPr>
          <w:sz w:val="20"/>
          <w:szCs w:val="20"/>
          <w:color w:val="auto"/>
        </w:rPr>
      </w:pPr>
    </w:p>
    <w:p>
      <w:pPr>
        <w:ind w:right="240" w:firstLine="480"/>
        <w:spacing w:after="0" w:line="249" w:lineRule="auto"/>
        <w:rPr>
          <w:sz w:val="20"/>
          <w:szCs w:val="20"/>
          <w:color w:val="auto"/>
        </w:rPr>
      </w:pPr>
      <w:r>
        <w:rPr>
          <w:rFonts w:ascii="Times New Roman" w:cs="Times New Roman" w:eastAsia="Times New Roman" w:hAnsi="Times New Roman"/>
          <w:sz w:val="20"/>
          <w:szCs w:val="20"/>
          <w:color w:val="auto"/>
        </w:rPr>
        <w:t>Certain statements contained in this Annual Report on Form 10-K may constitute “forward-looking statements” for purposes of federal securities laws. Such statements can be identified by the fact that they do not relate strictly to historical or current facts. In addition, any statements that refer to projections, forecasts or other characterizations of future events or circumstances, including any underlying assumptions, are forward-looking statements. The words “</w:t>
      </w:r>
      <w:r>
        <w:rPr>
          <w:rFonts w:ascii="Times New Roman" w:cs="Times New Roman" w:eastAsia="Times New Roman" w:hAnsi="Times New Roman"/>
          <w:sz w:val="20"/>
          <w:szCs w:val="20"/>
          <w:i w:val="1"/>
          <w:iCs w:val="1"/>
          <w:color w:val="auto"/>
        </w:rPr>
        <w:t>anticipate,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believe,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contemplate,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continue,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could,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estimate,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expect,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intends,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may,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might,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plan,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possible,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potential,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predict,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project,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should,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will,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would</w:t>
      </w:r>
      <w:r>
        <w:rPr>
          <w:rFonts w:ascii="Times New Roman" w:cs="Times New Roman" w:eastAsia="Times New Roman" w:hAnsi="Times New Roman"/>
          <w:sz w:val="20"/>
          <w:szCs w:val="20"/>
          <w:color w:val="auto"/>
        </w:rPr>
        <w:t>” and similar expressions (including the negative of any of the foregoing) may identify forward-looking statements, but the absence of these words does not mean that a statement is not forward-looking.</w:t>
      </w:r>
    </w:p>
    <w:p>
      <w:pPr>
        <w:spacing w:after="0" w:line="151"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20"/>
          <w:szCs w:val="20"/>
          <w:color w:val="auto"/>
        </w:rPr>
        <w:t>Forward-looking statements in this Annual Report on Form 10-K may include, for example, but are not limited to, statements about:</w:t>
      </w:r>
    </w:p>
    <w:p>
      <w:pPr>
        <w:spacing w:after="0" w:line="148" w:lineRule="exact"/>
        <w:rPr>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or our management team’s expectations, hopes, beliefs, intentions or strategies regarding the future;</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research, discover and develop additional product candidates;</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cost and timing of our product development activities and clinical trials;</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attributes and benefits and safety and efficacy of our product candidates;</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regulatory approval for our product candidates;</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funding for our operations in future offerings;</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projected financial information, anticipated growth rate and market opportunity;</w:t>
      </w:r>
    </w:p>
    <w:p>
      <w:pPr>
        <w:spacing w:after="0" w:line="15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maintain the listing of our public securities on the Nasdaq Capital Market LLC (“Nasdaq”);</w:t>
      </w:r>
    </w:p>
    <w:p>
      <w:pPr>
        <w:spacing w:after="0" w:line="154"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public securities’ potential liquidity and trading;</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in retaining or recruiting, or changes required in, officers, key employees or directors;</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grow and manage growth profitably;</w:t>
      </w:r>
    </w:p>
    <w:p>
      <w:pPr>
        <w:spacing w:after="0" w:line="156" w:lineRule="exact"/>
        <w:rPr>
          <w:rFonts w:ascii="Times New Roman" w:cs="Times New Roman" w:eastAsia="Times New Roman" w:hAnsi="Times New Roman"/>
          <w:sz w:val="20"/>
          <w:szCs w:val="20"/>
          <w:color w:val="auto"/>
        </w:rPr>
      </w:pPr>
    </w:p>
    <w:p>
      <w:pPr>
        <w:ind w:left="960" w:right="920" w:hanging="480"/>
        <w:spacing w:after="0" w:line="243" w:lineRule="auto"/>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market acceptance and success of our business model, developments and projections relating to our competitors and industry;</w:t>
      </w:r>
    </w:p>
    <w:p>
      <w:pPr>
        <w:spacing w:after="0" w:line="14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intellectual property protection and not infringe on the rights of others;</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identify, in-license or acquire additional technology;</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existing license agreements and manufacturing arrangements;</w:t>
      </w:r>
    </w:p>
    <w:p>
      <w:pPr>
        <w:spacing w:after="0" w:line="156" w:lineRule="exact"/>
        <w:rPr>
          <w:rFonts w:ascii="Times New Roman" w:cs="Times New Roman" w:eastAsia="Times New Roman" w:hAnsi="Times New Roman"/>
          <w:sz w:val="20"/>
          <w:szCs w:val="20"/>
          <w:color w:val="auto"/>
        </w:rPr>
      </w:pPr>
    </w:p>
    <w:p>
      <w:pPr>
        <w:ind w:left="960" w:right="80" w:hanging="480"/>
        <w:spacing w:after="0" w:line="268" w:lineRule="auto"/>
        <w:tabs>
          <w:tab w:leader="none" w:pos="9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expectations regarding the anticipated benefits of our corporate reorganization, including the reduction in force, and our ability to implement and achieve the expected cost savings in connection therewith;</w:t>
      </w:r>
    </w:p>
    <w:p>
      <w:pPr>
        <w:spacing w:after="0" w:line="125"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 and</w:t>
      </w:r>
    </w:p>
    <w:p>
      <w:pPr>
        <w:spacing w:after="0" w:line="15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volatility of the trading price of our common stock.</w:t>
      </w:r>
    </w:p>
    <w:p>
      <w:pPr>
        <w:spacing w:after="0" w:line="157"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9"/>
          <w:szCs w:val="19"/>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Annual Report on Form 10-K.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and there may be additional risks that we consider immaterial or which are unknown. It is not possible to predict or identify all such risks. Readers are cautioned not to place undue reliance on forward-looking statements because of the risks and uncertainties related to them and to the risk factors. We do not undertake any obligation to update or revise any forward-looking statements, whether as a result of new information, future events or otherwise, except as may be required under applicable securities laws.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ectPr>
          <w:pgSz w:w="12240" w:h="15840" w:orient="portrait"/>
          <w:cols w:equalWidth="0" w:num="1">
            <w:col w:w="9360"/>
          </w:cols>
          <w:pgMar w:left="1440" w:top="941" w:right="1440" w:bottom="348"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We are a clinical-stage biotechnology company focused on developing therapeutics targeting mast cell driven diseases such as Chronic Spontaneous Urticaria (“CSU”), Chronic Inducible Urticaria (“CIndU”) and asthma and we continue to consider additional indications in mast cell driven diseases for potential future development. We have also historically explored development programs in diseases where targeting diseased hemopoietic stem cells can provide benefits, such as stem cell transplant conditioning regimens, but those programs have been discontinued and we are exclusively focused on mast cell driven diseases.</w:t>
      </w:r>
    </w:p>
    <w:p>
      <w:pPr>
        <w:spacing w:after="0" w:line="168"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Our lead product candidate, briquilimab, is a monoclonal antibody designed to block stem cell factor (“SCF”) from binding to and signaling through the CD117 (“KIT”) receptor on mast and stem cells. The SCF/KIT pathway is a survival signal for mast cells and we believe that blocking this pathway may lead to depletion of these cells throughout the body, including in the lungs and in the skin, which could lead to significant clinical benefit for patients with mast-cell driven diseases such as asthma and chronic urticarias. To that end, we are focusing on advancing a portfolio of clinical programs in mast cell driven diseases. Development highlights include: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CSU — BEACON Study</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We commenced the Phase 1b/2a BEACON study in CSU in late 2023. The BEACON study is a randomized, double-blind, and placebo-controlled Phase 1b/2a trial evaluating multiple ascending doses of briquilimab both as a single dose (“SD”) (240mg &amp; 360mg) as well as with repeat dosing (multiple dose levels from 10mg Q8W up to 240mg Q8W) as a therapy for adult patients with moderate to severe CSU. We reported positive preliminary data from the first 8 dosing cohorts (10mg, 40mg, 80mg Q8W, 120mg Q8W &amp; Q12W, 180mg Q8W &amp; Q12W and 240mg SD), in January 2025. We also reported preliminary data from 3 additional cohorts (360mg SD, 240mg Q8W and 240mg/180mg Q8W) in July 2025, and reported additional positive preliminary data from new patients enrolled in the 240mg/180mg Q8W cohort in January 2026. In general, data generated in the BEACON study has been positive with strong efficacy and a favorable safety profile observed in CSU patients. Highlights of the BEACON study data presented in those updates were as follows:</w:t>
      </w:r>
    </w:p>
    <w:p>
      <w:pPr>
        <w:spacing w:after="0" w:line="174" w:lineRule="exact"/>
        <w:rPr>
          <w:sz w:val="20"/>
          <w:szCs w:val="20"/>
          <w:color w:val="auto"/>
        </w:rPr>
      </w:pPr>
    </w:p>
    <w:p>
      <w:pPr>
        <w:ind w:left="960" w:right="520" w:hanging="480"/>
        <w:spacing w:after="0" w:line="243"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demonstrated a rapid onset of clinical efficacy with clinical responses seen as early as 1 week post-dose and complete responses observed as early as week 2 post-dose.</w:t>
      </w:r>
    </w:p>
    <w:p>
      <w:pPr>
        <w:spacing w:after="0" w:line="174" w:lineRule="exact"/>
        <w:rPr>
          <w:rFonts w:ascii="Times New Roman" w:cs="Times New Roman" w:eastAsia="Times New Roman" w:hAnsi="Times New Roman"/>
          <w:sz w:val="20"/>
          <w:szCs w:val="20"/>
          <w:color w:val="auto"/>
        </w:rPr>
      </w:pPr>
    </w:p>
    <w:p>
      <w:pPr>
        <w:ind w:left="960" w:right="380" w:hanging="480"/>
        <w:spacing w:after="0" w:line="246" w:lineRule="auto"/>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drove deep and meaningful clinical responses at dose levels of 180mg or higher, most notably with 100% of patients in the 240mg single dose cohorts achieving complete responses in the first 8 weeks.</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was well-tolerated and demonstrated a favorable safety profile:</w:t>
      </w:r>
    </w:p>
    <w:p>
      <w:pPr>
        <w:spacing w:after="0" w:line="170"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KIT-related adverse events (“AEs”) were generally transient, low-grade events;</w:t>
      </w:r>
    </w:p>
    <w:p>
      <w:pPr>
        <w:spacing w:after="0" w:line="170" w:lineRule="exact"/>
        <w:rPr>
          <w:rFonts w:ascii="Times New Roman" w:cs="Times New Roman" w:eastAsia="Times New Roman" w:hAnsi="Times New Roman"/>
          <w:sz w:val="20"/>
          <w:szCs w:val="20"/>
          <w:color w:val="auto"/>
        </w:rPr>
      </w:pPr>
    </w:p>
    <w:p>
      <w:pPr>
        <w:ind w:left="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The majority of AEs observed were resolved while on study prior to subsequent doses; and</w:t>
      </w:r>
    </w:p>
    <w:p>
      <w:pPr>
        <w:spacing w:after="0" w:line="177" w:lineRule="exact"/>
        <w:rPr>
          <w:sz w:val="20"/>
          <w:szCs w:val="20"/>
          <w:color w:val="auto"/>
        </w:rPr>
      </w:pPr>
    </w:p>
    <w:p>
      <w:pPr>
        <w:ind w:left="1440" w:hanging="480"/>
        <w:spacing w:after="0" w:line="243"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dose delays, missed doses or discontinuations were reported due to AEs possibly related to KIT blockade.</w:t>
      </w:r>
    </w:p>
    <w:p>
      <w:pPr>
        <w:spacing w:after="0" w:line="174" w:lineRule="exact"/>
        <w:rPr>
          <w:sz w:val="20"/>
          <w:szCs w:val="20"/>
          <w:color w:val="auto"/>
        </w:rPr>
      </w:pPr>
    </w:p>
    <w:p>
      <w:pPr>
        <w:ind w:right="100" w:firstLine="480"/>
        <w:spacing w:after="0" w:line="264" w:lineRule="auto"/>
        <w:rPr>
          <w:sz w:val="20"/>
          <w:szCs w:val="20"/>
          <w:color w:val="auto"/>
        </w:rPr>
      </w:pPr>
      <w:r>
        <w:rPr>
          <w:rFonts w:ascii="Times New Roman" w:cs="Times New Roman" w:eastAsia="Times New Roman" w:hAnsi="Times New Roman"/>
          <w:sz w:val="19"/>
          <w:szCs w:val="19"/>
          <w:color w:val="auto"/>
        </w:rPr>
        <w:t>While the data generated to date in the BEACON study has generally been positive, in the July 2025 data update, results from the 240mg Q8W and the 240mg/180mg Q8W dose cohorts demonstrated an atypical absence of UAS7 reduction in 11 of the 13 patients enrolled, and as a result, we launched an investigation into those two cohorts. Factors examined included clinical site conduct, site dosing procedures, patient selection criteria, as well as potential product lot variability in one lot of drug product first introduced into the BEACON study in those two cohorts. We also provided new clinical drug supply from a different lot for ongoing dosing of existing patients and subsequently enrolled an additional 10 patients in aggregate across those two cohorts. Based on the work conducted during the investigation, we concluded the anomalous efficacy results in these two cohorts was not the result of any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360"/>
          </w:cols>
          <w:pgMar w:left="1440" w:top="941" w:right="1440" w:bottom="348" w:gutter="0" w:footer="0" w:header="0"/>
          <w:type w:val="continuous"/>
        </w:sectPr>
      </w:pPr>
    </w:p>
    <w:bookmarkStart w:id="5" w:name="page6"/>
    <w:bookmarkEnd w:id="5"/>
    <w:p>
      <w:pPr>
        <w:ind w:right="20"/>
        <w:spacing w:after="0" w:line="249" w:lineRule="auto"/>
        <w:rPr>
          <w:sz w:val="20"/>
          <w:szCs w:val="20"/>
          <w:color w:val="auto"/>
        </w:rPr>
      </w:pPr>
      <w:r>
        <w:rPr>
          <w:rFonts w:ascii="Times New Roman" w:cs="Times New Roman" w:eastAsia="Times New Roman" w:hAnsi="Times New Roman"/>
          <w:sz w:val="20"/>
          <w:szCs w:val="20"/>
          <w:color w:val="auto"/>
        </w:rPr>
        <w:t>issues with the investigational product used, or from drug substance (“DS”) or drug product (“DP”) manufacturing or distribution processes, but rather appeared to be an issue resulting from patient selection process/criteria at certain clinical sites participating in the study. The conclusions reached as a result of the investigation were supported by expert panels comprised of key opinion leaders in clinical development and antibody manufacturing that reviewed the findings and provided feedback and recommendations on patient enrollment processes that are being integrated into the planned Phase 2b/3 CSU study to increase the likelihood that CSU patients enrolled in the study would</w:t>
      </w:r>
    </w:p>
    <w:p>
      <w:pPr>
        <w:spacing w:after="0" w:line="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be more likely to have mast cell driven disease. These recommendations were incorporated into enrollment of the additional patients in the 240mg Q8W and 240mg/180mg Q8W cohorts. Given the additional data reported in January 2026 for 6 patients dosed with briquilimab in the 240mg/180mgQ8W cohort showed deep and meaningful clinical responses with UAS7 reductions of as much as 29 points observed and 4 of 6 participants (67%) reporting a complete response at 12 weeks, we believe these recommendations have been effective and we are integrating them into our planned Phase 2b/3 CSU study.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CIndU — SPOTLIGHT Study</w:t>
      </w:r>
    </w:p>
    <w:p>
      <w:pPr>
        <w:spacing w:after="0" w:line="177" w:lineRule="exact"/>
        <w:rPr>
          <w:sz w:val="20"/>
          <w:szCs w:val="20"/>
          <w:color w:val="auto"/>
        </w:rPr>
      </w:pPr>
    </w:p>
    <w:p>
      <w:pPr>
        <w:ind w:right="240" w:firstLine="480"/>
        <w:spacing w:after="0" w:line="263" w:lineRule="auto"/>
        <w:rPr>
          <w:sz w:val="20"/>
          <w:szCs w:val="20"/>
          <w:color w:val="auto"/>
        </w:rPr>
      </w:pPr>
      <w:r>
        <w:rPr>
          <w:rFonts w:ascii="Times New Roman" w:cs="Times New Roman" w:eastAsia="Times New Roman" w:hAnsi="Times New Roman"/>
          <w:sz w:val="19"/>
          <w:szCs w:val="19"/>
          <w:color w:val="auto"/>
        </w:rPr>
        <w:t>In early 2024, we commenced the Phase 1b/2a SPOTLIGHT study in CIndU. The SPOTLIGHT study is a Phase 1b/2a open label clinical trial evaluating single doses of subcutaneous briquilimab in adult participants with cold urticaria or symptomatic dermographism, the two most prevalent sub types of CIndU, who are refractory to antihistamines. The study enrolled 27 participants across three single dose cohorts of 40mg, 120mg, and 180mg. In October 2024, we presented positive preliminary data on the 40mg and 120mg cohorts from the study for a</w:t>
      </w:r>
    </w:p>
    <w:p>
      <w:pPr>
        <w:spacing w:after="0" w:line="3"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6-week preliminary analysis period following dosing, and in June 2025, we reported positive preliminary data from the 180mg single dose cohort at the 8-week preliminary analysis period. Highlights of the data presented were as follows:</w:t>
      </w:r>
    </w:p>
    <w:p>
      <w:pPr>
        <w:spacing w:after="0" w:line="173" w:lineRule="exact"/>
        <w:rPr>
          <w:sz w:val="20"/>
          <w:szCs w:val="20"/>
          <w:color w:val="auto"/>
        </w:rPr>
      </w:pPr>
    </w:p>
    <w:p>
      <w:pPr>
        <w:ind w:left="960" w:right="140" w:hanging="480"/>
        <w:spacing w:after="0" w:line="248"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treatment resulted in deep disease control at all three dose levels with 26 of 27 participants (96%) enrolled in the study achieving a clinical response within the 8-week preliminary analysis period following dosing, and 21 of 24 participants (88%) dosed at 120mg or 180mg achieving a complete response in that period; and</w:t>
      </w:r>
    </w:p>
    <w:p>
      <w:pPr>
        <w:spacing w:after="0" w:line="169" w:lineRule="exact"/>
        <w:rPr>
          <w:rFonts w:ascii="Times New Roman" w:cs="Times New Roman" w:eastAsia="Times New Roman" w:hAnsi="Times New Roman"/>
          <w:sz w:val="20"/>
          <w:szCs w:val="20"/>
          <w:color w:val="auto"/>
        </w:rPr>
      </w:pPr>
    </w:p>
    <w:p>
      <w:pPr>
        <w:ind w:left="960" w:right="120" w:hanging="480"/>
        <w:spacing w:after="0" w:line="243" w:lineRule="auto"/>
        <w:tabs>
          <w:tab w:leader="none" w:pos="9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was well-tolerated in the study, with KIT-related AEs being low-grade events, and no grade 3 or higher AEs possibly related to KIT blockade reported in any of the dose cohorts.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Open Label Extension (OLE) Study</w:t>
      </w:r>
    </w:p>
    <w:p>
      <w:pPr>
        <w:spacing w:after="0" w:line="177"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20"/>
          <w:szCs w:val="20"/>
          <w:color w:val="auto"/>
        </w:rPr>
        <w:t>In 2025, we commenced an Open Label Extension study (the “OLE”) in which patients in the BEACON study in CSU and the SPOTLIGHT study in CIndU were eligible to roll over to once they either completed their initial safety follow up period or experienced a return of disease during the safety follow up period. All patients rolling over to the OLE study were treated with a 180mg Q8W dosing regimen. In January 2026, we reported preliminary data from the OLE study in both CSU and CIndU patients.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Highlights of the clinical efficacy observed in CSU and CIndU participants for the OLE study released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2026 were as follows:</w:t>
      </w:r>
    </w:p>
    <w:p>
      <w:pPr>
        <w:spacing w:after="0" w:line="177" w:lineRule="exact"/>
        <w:rPr>
          <w:sz w:val="20"/>
          <w:szCs w:val="20"/>
          <w:color w:val="auto"/>
        </w:rPr>
      </w:pPr>
    </w:p>
    <w:p>
      <w:pPr>
        <w:ind w:left="960" w:hanging="480"/>
        <w:spacing w:after="0" w:line="246"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CSU participants, briquilimab treatment resulted in deep and durable disease control in the OLE study with 27 of 36 participants (75%) achieving complete response or well controlled disease at the week 12 assessment; and</w:t>
      </w:r>
    </w:p>
    <w:p>
      <w:pPr>
        <w:spacing w:after="0" w:line="172" w:lineRule="exact"/>
        <w:rPr>
          <w:rFonts w:ascii="Times New Roman" w:cs="Times New Roman" w:eastAsia="Times New Roman" w:hAnsi="Times New Roman"/>
          <w:sz w:val="20"/>
          <w:szCs w:val="20"/>
          <w:color w:val="auto"/>
        </w:rPr>
      </w:pPr>
    </w:p>
    <w:p>
      <w:pPr>
        <w:ind w:left="960" w:right="120" w:hanging="480"/>
        <w:spacing w:after="0" w:line="246" w:lineRule="auto"/>
        <w:tabs>
          <w:tab w:leader="none" w:pos="9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CIndU participants, briquilimab treatment resulted in deep and durable disease control as well, with 11 of 17 participants (65%) achieving complete response or partial response at the week 16 assessment, which was 8 weeks following administration of the second dose.</w:t>
      </w:r>
    </w:p>
    <w:p>
      <w:pPr>
        <w:spacing w:after="0" w:line="173" w:lineRule="exact"/>
        <w:rPr>
          <w:sz w:val="20"/>
          <w:szCs w:val="20"/>
          <w:color w:val="auto"/>
        </w:rPr>
      </w:pPr>
    </w:p>
    <w:p>
      <w:pPr>
        <w:ind w:right="120" w:firstLine="480"/>
        <w:spacing w:after="0" w:line="243" w:lineRule="auto"/>
        <w:rPr>
          <w:sz w:val="20"/>
          <w:szCs w:val="20"/>
          <w:color w:val="auto"/>
        </w:rPr>
      </w:pPr>
      <w:r>
        <w:rPr>
          <w:rFonts w:ascii="Times New Roman" w:cs="Times New Roman" w:eastAsia="Times New Roman" w:hAnsi="Times New Roman"/>
          <w:sz w:val="20"/>
          <w:szCs w:val="20"/>
          <w:color w:val="auto"/>
        </w:rPr>
        <w:t>Across both CSU and CIndU participants in the OLE study, briquilimab continued to demonstrate a favorable safety profile:</w:t>
      </w:r>
    </w:p>
    <w:p>
      <w:pPr>
        <w:spacing w:after="0" w:line="168" w:lineRule="exact"/>
        <w:rPr>
          <w:sz w:val="20"/>
          <w:szCs w:val="20"/>
          <w:color w:val="auto"/>
        </w:rPr>
      </w:pPr>
    </w:p>
    <w:p>
      <w:pPr>
        <w:ind w:left="960" w:hanging="480"/>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KIT-related AEs were generally transient, low-grade events;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AEs observed were resolved while on study prior to subsequent doses;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360"/>
          </w:cols>
          <w:pgMar w:left="1440" w:top="948" w:right="1440" w:bottom="348" w:gutter="0" w:footer="0" w:header="0"/>
          <w:type w:val="continuous"/>
        </w:sectPr>
      </w:pPr>
    </w:p>
    <w:bookmarkStart w:id="6" w:name="page7"/>
    <w:bookmarkEnd w:id="6"/>
    <w:p>
      <w:pPr>
        <w:ind w:left="960" w:hanging="480"/>
        <w:spacing w:after="0"/>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patient discontinued therapy due to taste disturbance potentially related to briquilimab; and</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other dose delays, missed doses or discontinuations were reported due to AEs possibly related to KIT blockade.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Asthma — ETESIAN Study</w:t>
      </w:r>
    </w:p>
    <w:p>
      <w:pPr>
        <w:spacing w:after="0" w:line="177"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20"/>
          <w:szCs w:val="20"/>
          <w:color w:val="auto"/>
        </w:rPr>
        <w:t>In late 2024, we commenced a Phase 1b study in asthma, the “ETESIAN” study, which is a single dose double-blind, placebo-controlled challenge study seeking to demonstrate proof-of-concept in asthma utilizing a potential therapeutic dose to inform future trials in the broader asthma population. The study was conducted utilizing a single 180mg dose of subcutaneous briquilimab and key assessments included measuring improvements in Forced Expiratory Volume in 1 second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in both Early Asthmatic Response (“EAR”), and Late Asthmatic Response (“LAR”) measured at 6 and 12 weeks, changes in airway hyperresponsiveness, mast cell depletion and recovery, and safety.</w:t>
      </w:r>
    </w:p>
    <w:p>
      <w:pPr>
        <w:spacing w:after="0" w:line="175"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In December 2025, we reported preliminary results from the ETESIAN study in 14 participants (7 receiving a single dose of 180mg briquilimab and 7 receiving placebo) who completed at least the 6 week allergen challenge assessment following dosing with investigational product or placebo. Highlights of the clinical response observed in ETESIAN participants reported in December 2025 were as follows:</w:t>
      </w:r>
    </w:p>
    <w:p>
      <w:pPr>
        <w:spacing w:after="0" w:line="169" w:lineRule="exact"/>
        <w:rPr>
          <w:sz w:val="20"/>
          <w:szCs w:val="20"/>
          <w:color w:val="auto"/>
        </w:rPr>
      </w:pPr>
    </w:p>
    <w:p>
      <w:pPr>
        <w:ind w:left="960" w:right="60" w:hanging="480"/>
        <w:spacing w:after="0" w:line="232"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to baseline, briquilimab reduced the allergen induced LAR (measured by the mean maximum percentage fall in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(%Max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and fall in area under the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time response curve (“AUC”)) at both 6 and 12 weeks. Patients who received briquilimab showed an improvement in the LAR %Max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of 10.4% at 6 weeks and 8.7% at 12 weeks compared to baseline, as well as demonstrating an improvement in the LAR AUC of 25.4% at 6 weeks and 23.3% at 12 weeks.</w:t>
      </w:r>
    </w:p>
    <w:p>
      <w:pPr>
        <w:spacing w:after="0" w:line="181" w:lineRule="exact"/>
        <w:rPr>
          <w:rFonts w:ascii="Times New Roman" w:cs="Times New Roman" w:eastAsia="Times New Roman" w:hAnsi="Times New Roman"/>
          <w:sz w:val="20"/>
          <w:szCs w:val="20"/>
          <w:color w:val="auto"/>
        </w:rPr>
      </w:pPr>
    </w:p>
    <w:p>
      <w:pPr>
        <w:ind w:left="960" w:right="60" w:hanging="480"/>
        <w:spacing w:after="0" w:line="248" w:lineRule="auto"/>
        <w:tabs>
          <w:tab w:leader="none" w:pos="9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Sputum eosinophils, a potential marker of inflammatory response, were also measured at 7 and 24 hours following allergen challenge at week 6 and week 12. Participants receiving briquilimab demonstrated notably lower eosinophil levels as compared to those receiving placebo, indicating a reduction in the inflammatory response to their allergen.</w:t>
      </w:r>
    </w:p>
    <w:p>
      <w:pPr>
        <w:spacing w:after="0" w:line="169" w:lineRule="exact"/>
        <w:rPr>
          <w:sz w:val="20"/>
          <w:szCs w:val="20"/>
          <w:color w:val="auto"/>
        </w:rPr>
      </w:pPr>
    </w:p>
    <w:p>
      <w:pPr>
        <w:ind w:right="560" w:firstLine="480"/>
        <w:spacing w:after="0" w:line="246" w:lineRule="auto"/>
        <w:rPr>
          <w:sz w:val="20"/>
          <w:szCs w:val="20"/>
          <w:color w:val="auto"/>
        </w:rPr>
      </w:pPr>
      <w:r>
        <w:rPr>
          <w:rFonts w:ascii="Times New Roman" w:cs="Times New Roman" w:eastAsia="Times New Roman" w:hAnsi="Times New Roman"/>
          <w:sz w:val="20"/>
          <w:szCs w:val="20"/>
          <w:color w:val="auto"/>
        </w:rPr>
        <w:t>The positive proof of concept data generated in the ETESIAN study supports further development in the broader asthma population, however, advancing any future clinical studies in asthma would be based on an evaluation of the competitive landscape, the potential for strategic partnerships and capital availability.</w:t>
      </w:r>
    </w:p>
    <w:p>
      <w:pPr>
        <w:spacing w:after="0" w:line="173"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Historically, we have also evaluated briquilimab as a one-time conditioning therapy for severe combined immunodeficiency (“SCID”) patients undergoing a second stem cell transplant for which we conducted a Phase 1/2 clinical trial as well as via Investigator Sponsored Trials (“ISTs”) in several other stem cell transplant indications. In July 2025, we re-focused resources on our mast cell disease development programs.</w:t>
      </w:r>
    </w:p>
    <w:p>
      <w:pPr>
        <w:spacing w:after="0" w:line="169"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color w:val="auto"/>
        </w:rPr>
        <w:t>We intend to become a fully integrated discovery, development and commercial company in the field of mast cell therapeutics. We are developing our product candidates to be used individually or, in some cases, in combination with other therapeutics. Our goal is to advance our product candidates through regulatory approval and bring them to the commercial market based on the data from our clinical trials and communications with regulatory agencies and payor communities. We expect to continue to broaden our pipeline with additional mast cell indications.</w:t>
      </w:r>
    </w:p>
    <w:p>
      <w:pPr>
        <w:spacing w:after="0" w:line="158" w:lineRule="exact"/>
        <w:rPr>
          <w:sz w:val="20"/>
          <w:szCs w:val="20"/>
          <w:color w:val="auto"/>
        </w:rPr>
      </w:pPr>
    </w:p>
    <w:p>
      <w:pPr>
        <w:ind w:right="40" w:firstLine="480"/>
        <w:spacing w:after="0" w:line="248" w:lineRule="auto"/>
        <w:rPr>
          <w:sz w:val="20"/>
          <w:szCs w:val="20"/>
          <w:color w:val="auto"/>
        </w:rPr>
      </w:pPr>
      <w:r>
        <w:rPr>
          <w:rFonts w:ascii="Times New Roman" w:cs="Times New Roman" w:eastAsia="Times New Roman" w:hAnsi="Times New Roman"/>
          <w:sz w:val="20"/>
          <w:szCs w:val="20"/>
          <w:color w:val="auto"/>
        </w:rPr>
        <w:t>We have an exclusive license agreement with Amgen Inc. (“Amgen”) for the development and commercialization of the briquilimab monoclonal antibody in all indications and territories worldwide. We also have an exclusive license agreement with Stanford University for the right to use briquilimab in the clearance of diseased stem cells prior to the transplantation of hematopoietic stem cells (“HSCs”).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Briquilimab</w:t>
      </w:r>
    </w:p>
    <w:p>
      <w:pPr>
        <w:spacing w:after="0" w:line="177" w:lineRule="exact"/>
        <w:rPr>
          <w:sz w:val="20"/>
          <w:szCs w:val="20"/>
          <w:color w:val="auto"/>
        </w:rPr>
      </w:pPr>
    </w:p>
    <w:p>
      <w:pPr>
        <w:ind w:right="280" w:firstLine="480"/>
        <w:spacing w:after="0" w:line="265" w:lineRule="auto"/>
        <w:rPr>
          <w:sz w:val="20"/>
          <w:szCs w:val="20"/>
          <w:color w:val="auto"/>
        </w:rPr>
      </w:pPr>
      <w:r>
        <w:rPr>
          <w:rFonts w:ascii="Times New Roman" w:cs="Times New Roman" w:eastAsia="Times New Roman" w:hAnsi="Times New Roman"/>
          <w:sz w:val="19"/>
          <w:szCs w:val="19"/>
          <w:color w:val="auto"/>
        </w:rPr>
        <w:t>We believe briquilimab is a unique, humanized, monoclonal antibody that targets the underlying biology of mast cell survival to potentially serve as a therapeutic to prevent mast cell driven diseases. In addition, we believe briquilimab targets a key differentiation pathway for HSCs and may be developed to improve the efficacy and safety of hematopoietic stem cell transplantation. Briquilimab binds to human KIT, the receptor for SCF, which is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360"/>
          </w:cols>
          <w:pgMar w:left="1440" w:top="941" w:right="1440" w:bottom="348" w:gutter="0" w:footer="0" w:header="0"/>
          <w:type w:val="continuous"/>
        </w:sectPr>
      </w:pPr>
    </w:p>
    <w:bookmarkStart w:id="7" w:name="page8"/>
    <w:bookmarkEnd w:id="7"/>
    <w:p>
      <w:pPr>
        <w:jc w:val="both"/>
        <w:ind w:right="100"/>
        <w:spacing w:after="0" w:line="246" w:lineRule="auto"/>
        <w:rPr>
          <w:sz w:val="20"/>
          <w:szCs w:val="20"/>
          <w:color w:val="auto"/>
        </w:rPr>
      </w:pPr>
      <w:r>
        <w:rPr>
          <w:rFonts w:ascii="Times New Roman" w:cs="Times New Roman" w:eastAsia="Times New Roman" w:hAnsi="Times New Roman"/>
          <w:sz w:val="20"/>
          <w:szCs w:val="20"/>
          <w:color w:val="auto"/>
        </w:rPr>
        <w:t>expressed on the surface of various cells, including mast cells. The interaction of SCF and KIT is required for mast cells to survive. By blocking SCF from binding to KIT and disrupting these critical signals, briquilimab leads to the depletion of mast cells in the skin. Briquilimab is designed to bind to KIT with a greater affinity than SCF.</w:t>
      </w:r>
    </w:p>
    <w:p>
      <w:pPr>
        <w:spacing w:after="0" w:line="173"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The monoclonal antibody isotype and other modifications of briquilimab were chosen carefully to retain high affinity binding to the KIT receptor and SCF signal blockade without recruiting other immune cells that could lead to receptor activation, mast cell degranulation or other off-target toxicities. For example, designing briquilimab as an IgG1 isotype instead of an IgG2 isotype results in more potent inhibition of KIT, potentially increasing the effect on mast cell depletion. Briquilimab was also designed to be aglycosylated in order to eliminate the recruitment of other immune effector cells that may bring unwanted effects to any cell that expresses KIT. This finding and other data demonstrate that not all anti-KIT antibodies behave equally or have the same mechanism of action.</w:t>
      </w:r>
    </w:p>
    <w:p>
      <w:pPr>
        <w:spacing w:after="0" w:line="170" w:lineRule="exact"/>
        <w:rPr>
          <w:sz w:val="20"/>
          <w:szCs w:val="20"/>
          <w:color w:val="auto"/>
        </w:rPr>
      </w:pPr>
    </w:p>
    <w:p>
      <w:pPr>
        <w:ind w:right="360" w:firstLine="480"/>
        <w:spacing w:after="0" w:line="243" w:lineRule="auto"/>
        <w:rPr>
          <w:sz w:val="20"/>
          <w:szCs w:val="20"/>
          <w:color w:val="auto"/>
        </w:rPr>
      </w:pPr>
      <w:r>
        <w:rPr>
          <w:rFonts w:ascii="Times New Roman" w:cs="Times New Roman" w:eastAsia="Times New Roman" w:hAnsi="Times New Roman"/>
          <w:sz w:val="20"/>
          <w:szCs w:val="20"/>
          <w:color w:val="auto"/>
        </w:rPr>
        <w:t>We are focused on advancing Briquilimab in development as a chronic therapy in mast cell driven diseases such as CSU, CIndU, asthma and other mast cell driven indications currently under evaluation.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Briquilimab as a Primary Therapeutic for Disorders of Mast Cells</w:t>
      </w:r>
    </w:p>
    <w:p>
      <w:pPr>
        <w:spacing w:after="0" w:line="177"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Mast cells are primary cells of the immune system derived from HSCs in the bone marrow. Mast cells store a number of different chemical mediators such as tryptase, histamine, interleukins and heparin in granules found throughout the cell. When a mast cell is triggered, such as by an allergen specific to membrane-bound Immunoglobulin E (“IgE”) antibodies, the mast cell is activated and releases the content of the granules into the surrounding tissue. These chemical mediators attract other immune cells to help with any response as well as produce a local allergic reaction consisting of inflammation, swelling, contraction of smooth muscle and increased mucus secretion. Mast cells are usually long-lived and found at boundaries to the external environment such as the skin, mucosal surfaces of the gut and lungs and eye.</w:t>
      </w:r>
    </w:p>
    <w:p>
      <w:pPr>
        <w:spacing w:after="0" w:line="171" w:lineRule="exact"/>
        <w:rPr>
          <w:sz w:val="20"/>
          <w:szCs w:val="20"/>
          <w:color w:val="auto"/>
        </w:rPr>
      </w:pPr>
    </w:p>
    <w:p>
      <w:pPr>
        <w:ind w:right="120" w:firstLine="480"/>
        <w:spacing w:after="0" w:line="248" w:lineRule="auto"/>
        <w:rPr>
          <w:sz w:val="20"/>
          <w:szCs w:val="20"/>
          <w:color w:val="auto"/>
        </w:rPr>
      </w:pPr>
      <w:r>
        <w:rPr>
          <w:rFonts w:ascii="Times New Roman" w:cs="Times New Roman" w:eastAsia="Times New Roman" w:hAnsi="Times New Roman"/>
          <w:sz w:val="20"/>
          <w:szCs w:val="20"/>
          <w:color w:val="auto"/>
        </w:rPr>
        <w:t>Dysfunctional regulation and activation of mast cells is thought to be a significant driver of multiple diseases, including urticarias, asthma, prurigo nodularis, allergic eye disease and others. Each of these diseases has been shown to have local concentrations of mast cells, cellular response consistent with mast cell degranulation and disease modification with use of antihistamines. Unfortunately, currently approved agents targeting mast cells in these diseases are ineffective in many patients, leading to continued high disease burden.</w:t>
      </w:r>
    </w:p>
    <w:p>
      <w:pPr>
        <w:spacing w:after="0" w:line="172"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Briquilimab blocks signaling on the KIT receptor by inhibiting the binding of SCF, the ligand for the KIT receptor. The interaction of SCF/KIT on mast cells is critical for development, proliferation and survival. Without continued signaling through KIT, mast cells will undergo apoptosis and die. We have shown that a single subcutaneous dose of briquilimab leads to depletion of mast cells in the skin of healthy human volunteers for at least 29 days. We believe that depletion of mast cells in the skin of patients with chronic urticaria or other mast cell driven diseases has the potential to lead to improved disease control for those patients without adequate response to current therapies.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360"/>
          </w:cols>
          <w:pgMar w:left="1440" w:top="948" w:right="1440" w:bottom="348" w:gutter="0" w:footer="0" w:header="0"/>
          <w:type w:val="continuous"/>
        </w:sectPr>
      </w:pPr>
    </w:p>
    <w:bookmarkStart w:id="8" w:name="page9"/>
    <w:bookmarkEnd w:id="8"/>
    <w:p>
      <w:pPr>
        <w:ind w:left="480" w:right="440"/>
        <w:spacing w:after="0" w:line="245" w:lineRule="auto"/>
        <w:rPr>
          <w:sz w:val="20"/>
          <w:szCs w:val="20"/>
          <w:color w:val="auto"/>
        </w:rPr>
      </w:pPr>
      <w:r>
        <w:rPr>
          <w:rFonts w:ascii="Times New Roman" w:cs="Times New Roman" w:eastAsia="Times New Roman" w:hAnsi="Times New Roman"/>
          <w:sz w:val="20"/>
          <w:szCs w:val="20"/>
          <w:i w:val="1"/>
          <w:iCs w:val="1"/>
          <w:color w:val="auto"/>
        </w:rPr>
        <w:t>Figure 1 — Healthy volunteers administered single doses of briquilimab 42 mg to 280 mg subcutaneously received punch skin biopsies to evaluate the decreases in mast cells at 4 weeks after briquilimab was administered compared to the baseline.</w:t>
      </w:r>
    </w:p>
    <w:p>
      <w:pPr>
        <w:spacing w:after="0" w:line="185" w:lineRule="exact"/>
        <w:rPr>
          <w:sz w:val="20"/>
          <w:szCs w:val="20"/>
          <w:color w:val="auto"/>
        </w:rPr>
      </w:pPr>
    </w:p>
    <w:p>
      <w:pPr>
        <w:jc w:val="center"/>
        <w:ind w:right="-979"/>
        <w:spacing w:after="0"/>
        <w:rPr>
          <w:sz w:val="20"/>
          <w:szCs w:val="20"/>
          <w:color w:val="auto"/>
        </w:rPr>
      </w:pPr>
      <w:r>
        <w:rPr>
          <w:rFonts w:ascii="Calibri" w:cs="Calibri" w:eastAsia="Calibri" w:hAnsi="Calibri"/>
          <w:sz w:val="28"/>
          <w:szCs w:val="28"/>
          <w:color w:val="auto"/>
        </w:rPr>
        <w:t>Skin mast cell depletion 4 weeks after single dose (≥42 mg)</w:t>
      </w:r>
      <w:r>
        <w:rPr>
          <w:rFonts w:ascii="Calibri" w:cs="Calibri" w:eastAsia="Calibri" w:hAnsi="Calibri"/>
          <w:sz w:val="32"/>
          <w:szCs w:val="32"/>
          <w:color w:val="auto"/>
          <w:vertAlign w:val="superscript"/>
        </w:rPr>
        <w:t>1</w:t>
      </w:r>
    </w:p>
    <w:p>
      <w:pPr>
        <w:spacing w:after="0" w:line="8" w:lineRule="exact"/>
        <w:rPr>
          <w:sz w:val="20"/>
          <w:szCs w:val="20"/>
          <w:color w:val="auto"/>
        </w:rPr>
      </w:pPr>
    </w:p>
    <w:p>
      <w:pPr>
        <w:ind w:left="2520"/>
        <w:spacing w:after="0"/>
        <w:rPr>
          <w:sz w:val="20"/>
          <w:szCs w:val="20"/>
          <w:color w:val="auto"/>
        </w:rPr>
      </w:pPr>
      <w:r>
        <w:rPr>
          <w:rFonts w:ascii="Calibri" w:cs="Calibri" w:eastAsia="Calibri" w:hAnsi="Calibri"/>
          <w:sz w:val="22"/>
          <w:szCs w:val="22"/>
          <w:color w:val="auto"/>
        </w:rPr>
        <w:t>Briquilimab Healthy Volunteer Phase 1 Subcutaneous Study</w:t>
      </w:r>
    </w:p>
    <w:p>
      <w:pPr>
        <w:sectPr>
          <w:pgSz w:w="12240" w:h="15840" w:orient="portrait"/>
          <w:cols w:equalWidth="0" w:num="1">
            <w:col w:w="9360"/>
          </w:cols>
          <w:pgMar w:left="1440" w:top="950" w:right="1440" w:bottom="348" w:gutter="0" w:footer="0" w:header="0"/>
        </w:sectPr>
      </w:pPr>
    </w:p>
    <w:p>
      <w:pPr>
        <w:spacing w:after="0" w:line="233" w:lineRule="exact"/>
        <w:rPr>
          <w:sz w:val="20"/>
          <w:szCs w:val="20"/>
          <w:color w:val="auto"/>
        </w:rPr>
      </w:pPr>
    </w:p>
    <w:tbl>
      <w:tblPr>
        <w:tblLayout w:type="fixed"/>
        <w:tblInd w:w="715" w:type="dxa"/>
        <w:tblCellMar>
          <w:top w:w="0" w:type="dxa"/>
          <w:left w:w="0" w:type="dxa"/>
          <w:bottom w:w="0" w:type="dxa"/>
          <w:right w:w="0" w:type="dxa"/>
        </w:tblCellMar>
      </w:tblPr>
      <w:tr>
        <w:trPr>
          <w:trHeight w:val="1360"/>
        </w:trPr>
        <w:tc>
          <w:tcPr>
            <w:tcW w:w="269" w:type="dxa"/>
            <w:vAlign w:val="bottom"/>
            <w:textDirection w:val="btLr"/>
          </w:tcPr>
          <w:p>
            <w:pPr>
              <w:spacing w:after="0"/>
              <w:rPr>
                <w:sz w:val="20"/>
                <w:szCs w:val="20"/>
                <w:color w:val="auto"/>
              </w:rPr>
            </w:pPr>
            <w:r>
              <w:rPr>
                <w:rFonts w:ascii="Calibri" w:cs="Calibri" w:eastAsia="Calibri" w:hAnsi="Calibri"/>
                <w:sz w:val="22"/>
                <w:szCs w:val="22"/>
                <w:color w:val="auto"/>
              </w:rPr>
              <w:t>baselinefrom</w:t>
            </w:r>
          </w:p>
        </w:tc>
      </w:tr>
    </w:tbl>
    <w:p>
      <w:pPr>
        <w:spacing w:after="0" w:line="1" w:lineRule="exact"/>
        <w:rPr>
          <w:sz w:val="20"/>
          <w:szCs w:val="20"/>
          <w:color w:val="auto"/>
        </w:rPr>
      </w:pPr>
    </w:p>
    <w:tbl>
      <w:tblPr>
        <w:tblLayout w:type="fixed"/>
        <w:tblInd w:w="722" w:type="dxa"/>
        <w:tblCellMar>
          <w:top w:w="0" w:type="dxa"/>
          <w:left w:w="0" w:type="dxa"/>
          <w:bottom w:w="0" w:type="dxa"/>
          <w:right w:w="0" w:type="dxa"/>
        </w:tblCellMar>
      </w:tblPr>
      <w:tr>
        <w:trPr>
          <w:trHeight w:val="920"/>
        </w:trPr>
        <w:tc>
          <w:tcPr>
            <w:tcW w:w="269" w:type="dxa"/>
            <w:vAlign w:val="bottom"/>
            <w:textDirection w:val="btLr"/>
          </w:tcPr>
          <w:p>
            <w:pPr>
              <w:spacing w:after="0"/>
              <w:rPr>
                <w:sz w:val="20"/>
                <w:szCs w:val="20"/>
                <w:color w:val="auto"/>
              </w:rPr>
            </w:pPr>
            <w:r>
              <w:rPr>
                <w:rFonts w:ascii="Calibri" w:cs="Calibri" w:eastAsia="Calibri" w:hAnsi="Calibri"/>
                <w:sz w:val="22"/>
                <w:szCs w:val="22"/>
                <w:color w:val="auto"/>
              </w:rPr>
              <w:t>change%</w:t>
            </w:r>
          </w:p>
        </w:tc>
      </w:tr>
    </w:tbl>
    <w:p>
      <w:pPr>
        <w:spacing w:after="0" w:line="1" w:lineRule="exact"/>
        <w:rPr>
          <w:sz w:val="20"/>
          <w:szCs w:val="20"/>
          <w:color w:val="auto"/>
        </w:rPr>
      </w:pPr>
    </w:p>
    <w:tbl>
      <w:tblPr>
        <w:tblLayout w:type="fixed"/>
        <w:tblInd w:w="728" w:type="dxa"/>
        <w:tblCellMar>
          <w:top w:w="0" w:type="dxa"/>
          <w:left w:w="0" w:type="dxa"/>
          <w:bottom w:w="0" w:type="dxa"/>
          <w:right w:w="0" w:type="dxa"/>
        </w:tblCellMar>
      </w:tblPr>
      <w:tr>
        <w:trPr>
          <w:trHeight w:val="980"/>
        </w:trPr>
        <w:tc>
          <w:tcPr>
            <w:tcW w:w="269" w:type="dxa"/>
            <w:vAlign w:val="bottom"/>
            <w:textDirection w:val="btLr"/>
          </w:tcPr>
          <w:p>
            <w:pPr>
              <w:spacing w:after="0"/>
              <w:rPr>
                <w:sz w:val="20"/>
                <w:szCs w:val="20"/>
                <w:color w:val="auto"/>
              </w:rPr>
            </w:pPr>
            <w:r>
              <w:rPr>
                <w:rFonts w:ascii="Calibri" w:cs="Calibri" w:eastAsia="Calibri" w:hAnsi="Calibri"/>
                <w:sz w:val="22"/>
                <w:szCs w:val="22"/>
                <w:color w:val="auto"/>
              </w:rPr>
              <w:t>count,cell</w:t>
            </w:r>
          </w:p>
        </w:tc>
      </w:tr>
    </w:tbl>
    <w:p>
      <w:pPr>
        <w:spacing w:after="0" w:line="1" w:lineRule="exact"/>
        <w:rPr>
          <w:sz w:val="20"/>
          <w:szCs w:val="20"/>
          <w:color w:val="auto"/>
        </w:rPr>
      </w:pPr>
    </w:p>
    <w:tbl>
      <w:tblPr>
        <w:tblLayout w:type="fixed"/>
        <w:tblInd w:w="734" w:type="dxa"/>
        <w:tblCellMar>
          <w:top w:w="0" w:type="dxa"/>
          <w:left w:w="0" w:type="dxa"/>
          <w:bottom w:w="0" w:type="dxa"/>
          <w:right w:w="0" w:type="dxa"/>
        </w:tblCellMar>
      </w:tblPr>
      <w:tr>
        <w:trPr>
          <w:trHeight w:val="540"/>
        </w:trPr>
        <w:tc>
          <w:tcPr>
            <w:tcW w:w="269" w:type="dxa"/>
            <w:vAlign w:val="bottom"/>
            <w:textDirection w:val="btLr"/>
          </w:tcPr>
          <w:p>
            <w:pPr>
              <w:spacing w:after="0"/>
              <w:rPr>
                <w:sz w:val="20"/>
                <w:szCs w:val="20"/>
                <w:color w:val="auto"/>
              </w:rPr>
            </w:pPr>
            <w:r>
              <w:rPr>
                <w:rFonts w:ascii="Calibri" w:cs="Calibri" w:eastAsia="Calibri" w:hAnsi="Calibri"/>
                <w:sz w:val="22"/>
                <w:szCs w:val="22"/>
                <w:color w:val="auto"/>
              </w:rPr>
              <w:t>Mast</w:t>
            </w:r>
          </w:p>
        </w:tc>
      </w:tr>
    </w:tbl>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left="240"/>
        <w:spacing w:after="0"/>
        <w:rPr>
          <w:sz w:val="20"/>
          <w:szCs w:val="20"/>
          <w:color w:val="auto"/>
        </w:rPr>
      </w:pPr>
      <w:r>
        <w:rPr>
          <w:rFonts w:ascii="Calibri" w:cs="Calibri" w:eastAsia="Calibri" w:hAnsi="Calibri"/>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1576070</wp:posOffset>
            </wp:positionH>
            <wp:positionV relativeFrom="paragraph">
              <wp:posOffset>-3175</wp:posOffset>
            </wp:positionV>
            <wp:extent cx="107950" cy="107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extLst>
                    </a:blip>
                    <a:srcRect/>
                    <a:stretch>
                      <a:fillRect/>
                    </a:stretch>
                  </pic:blipFill>
                  <pic:spPr bwMode="auto">
                    <a:xfrm>
                      <a:off x="0" y="0"/>
                      <a:ext cx="107950" cy="1079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417830</wp:posOffset>
                </wp:positionH>
                <wp:positionV relativeFrom="paragraph">
                  <wp:posOffset>-254000</wp:posOffset>
                </wp:positionV>
                <wp:extent cx="0" cy="217805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78050"/>
                        </a:xfrm>
                        <a:prstGeom prst="line">
                          <a:avLst/>
                        </a:prstGeom>
                        <a:solidFill>
                          <a:srgbClr val="FFFFFF"/>
                        </a:solidFill>
                        <a:ln w="9537">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pt,-20pt" to="32.9pt,151.5pt" o:allowincell="f" strokecolor="#000000" strokeweight="0.7509pt"/>
            </w:pict>
          </mc:Fallback>
        </mc:AlternateContent>
        <mc:AlternateContent>
          <mc:Choice Requires="wps">
            <w:drawing>
              <wp:anchor simplePos="0" relativeHeight="251657728" behindDoc="1" locked="0" layoutInCell="0" allowOverlap="1">
                <wp:simplePos x="0" y="0"/>
                <wp:positionH relativeFrom="column">
                  <wp:posOffset>382270</wp:posOffset>
                </wp:positionH>
                <wp:positionV relativeFrom="paragraph">
                  <wp:posOffset>-73025</wp:posOffset>
                </wp:positionV>
                <wp:extent cx="34290" cy="1206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2065"/>
                        </a:xfrm>
                        <a:prstGeom prst="rect">
                          <a:avLst/>
                        </a:prstGeom>
                        <a:solidFill>
                          <a:srgbClr val="000000"/>
                        </a:solidFill>
                      </wps:spPr>
                      <wps:bodyPr/>
                    </wps:wsp>
                  </a:graphicData>
                </a:graphic>
              </wp:anchor>
            </w:drawing>
          </mc:Choice>
          <mc:Fallback>
            <w:pict>
              <v:rect id="Shape 8" o:spid="_x0000_s1033" style="position:absolute;margin-left:30.1pt;margin-top:-5.7499pt;width:2.7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382270</wp:posOffset>
                </wp:positionH>
                <wp:positionV relativeFrom="paragraph">
                  <wp:posOffset>318135</wp:posOffset>
                </wp:positionV>
                <wp:extent cx="34290" cy="1206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2065"/>
                        </a:xfrm>
                        <a:prstGeom prst="rect">
                          <a:avLst/>
                        </a:prstGeom>
                        <a:solidFill>
                          <a:srgbClr val="000000"/>
                        </a:solidFill>
                      </wps:spPr>
                      <wps:bodyPr/>
                    </wps:wsp>
                  </a:graphicData>
                </a:graphic>
              </wp:anchor>
            </w:drawing>
          </mc:Choice>
          <mc:Fallback>
            <w:pict>
              <v:rect id="Shape 9" o:spid="_x0000_s1034" style="position:absolute;margin-left:30.1pt;margin-top:25.05pt;width:2.7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382270</wp:posOffset>
                </wp:positionH>
                <wp:positionV relativeFrom="paragraph">
                  <wp:posOffset>709930</wp:posOffset>
                </wp:positionV>
                <wp:extent cx="34290" cy="1206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2065"/>
                        </a:xfrm>
                        <a:prstGeom prst="rect">
                          <a:avLst/>
                        </a:prstGeom>
                        <a:solidFill>
                          <a:srgbClr val="000000"/>
                        </a:solidFill>
                      </wps:spPr>
                      <wps:bodyPr/>
                    </wps:wsp>
                  </a:graphicData>
                </a:graphic>
              </wp:anchor>
            </w:drawing>
          </mc:Choice>
          <mc:Fallback>
            <w:pict>
              <v:rect id="Shape 10" o:spid="_x0000_s1035" style="position:absolute;margin-left:30.1pt;margin-top:55.9pt;width:2.7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382270</wp:posOffset>
                </wp:positionH>
                <wp:positionV relativeFrom="paragraph">
                  <wp:posOffset>1096010</wp:posOffset>
                </wp:positionV>
                <wp:extent cx="34290" cy="1206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2065"/>
                        </a:xfrm>
                        <a:prstGeom prst="rect">
                          <a:avLst/>
                        </a:prstGeom>
                        <a:solidFill>
                          <a:srgbClr val="000000"/>
                        </a:solidFill>
                      </wps:spPr>
                      <wps:bodyPr/>
                    </wps:wsp>
                  </a:graphicData>
                </a:graphic>
              </wp:anchor>
            </w:drawing>
          </mc:Choice>
          <mc:Fallback>
            <w:pict>
              <v:rect id="Shape 11" o:spid="_x0000_s1036" style="position:absolute;margin-left:30.1pt;margin-top:86.3pt;width:2.7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382270</wp:posOffset>
                </wp:positionH>
                <wp:positionV relativeFrom="paragraph">
                  <wp:posOffset>1477645</wp:posOffset>
                </wp:positionV>
                <wp:extent cx="34290" cy="1206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 cy="12065"/>
                        </a:xfrm>
                        <a:prstGeom prst="rect">
                          <a:avLst/>
                        </a:prstGeom>
                        <a:solidFill>
                          <a:srgbClr val="000000"/>
                        </a:solidFill>
                      </wps:spPr>
                      <wps:bodyPr/>
                    </wps:wsp>
                  </a:graphicData>
                </a:graphic>
              </wp:anchor>
            </w:drawing>
          </mc:Choice>
          <mc:Fallback>
            <w:pict>
              <v:rect id="Shape 12" o:spid="_x0000_s1037" style="position:absolute;margin-left:30.1pt;margin-top:116.35pt;width:2.7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drawing>
          <wp:anchor simplePos="0" relativeHeight="251657728" behindDoc="1" locked="0" layoutInCell="0" allowOverlap="1">
            <wp:simplePos x="0" y="0"/>
            <wp:positionH relativeFrom="column">
              <wp:posOffset>920750</wp:posOffset>
            </wp:positionH>
            <wp:positionV relativeFrom="paragraph">
              <wp:posOffset>-107950</wp:posOffset>
            </wp:positionV>
            <wp:extent cx="217805"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217805" cy="94615"/>
                    </a:xfrm>
                    <a:prstGeom prst="rect">
                      <a:avLst/>
                    </a:prstGeom>
                    <a:noFill/>
                  </pic:spPr>
                </pic:pic>
              </a:graphicData>
            </a:graphic>
          </wp:anchor>
        </w:drawing>
      </w:r>
    </w:p>
    <w:p>
      <w:pPr>
        <w:spacing w:after="0" w:line="329" w:lineRule="exact"/>
        <w:rPr>
          <w:sz w:val="20"/>
          <w:szCs w:val="20"/>
          <w:color w:val="auto"/>
        </w:rPr>
      </w:pPr>
    </w:p>
    <w:p>
      <w:pPr>
        <w:ind w:left="100"/>
        <w:spacing w:after="0"/>
        <w:rPr>
          <w:sz w:val="20"/>
          <w:szCs w:val="20"/>
          <w:color w:val="auto"/>
        </w:rPr>
      </w:pPr>
      <w:r>
        <w:rPr>
          <w:rFonts w:ascii="Calibri" w:cs="Calibri" w:eastAsia="Calibri" w:hAnsi="Calibri"/>
          <w:sz w:val="22"/>
          <w:szCs w:val="22"/>
          <w:color w:val="auto"/>
        </w:rPr>
        <w:t>-20%</w:t>
      </w:r>
    </w:p>
    <w:p>
      <w:pPr>
        <w:spacing w:after="0" w:line="340" w:lineRule="exact"/>
        <w:rPr>
          <w:sz w:val="20"/>
          <w:szCs w:val="20"/>
          <w:color w:val="auto"/>
        </w:rPr>
      </w:pPr>
    </w:p>
    <w:p>
      <w:pPr>
        <w:ind w:left="100"/>
        <w:spacing w:after="0"/>
        <w:rPr>
          <w:sz w:val="20"/>
          <w:szCs w:val="20"/>
          <w:color w:val="auto"/>
        </w:rPr>
      </w:pPr>
      <w:r>
        <w:rPr>
          <w:rFonts w:ascii="Calibri" w:cs="Calibri" w:eastAsia="Calibri" w:hAnsi="Calibri"/>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123190</wp:posOffset>
            </wp:positionV>
            <wp:extent cx="107950" cy="107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323" w:lineRule="exact"/>
        <w:rPr>
          <w:sz w:val="20"/>
          <w:szCs w:val="20"/>
          <w:color w:val="auto"/>
        </w:rPr>
      </w:pPr>
    </w:p>
    <w:p>
      <w:pPr>
        <w:ind w:left="100"/>
        <w:spacing w:after="0"/>
        <w:rPr>
          <w:sz w:val="20"/>
          <w:szCs w:val="20"/>
          <w:color w:val="auto"/>
        </w:rPr>
      </w:pPr>
      <w:r>
        <w:rPr>
          <w:rFonts w:ascii="Calibri" w:cs="Calibri" w:eastAsia="Calibri" w:hAnsi="Calibri"/>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52070</wp:posOffset>
            </wp:positionV>
            <wp:extent cx="107950" cy="107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extLst>
                    </a:blip>
                    <a:srcRect/>
                    <a:stretch>
                      <a:fillRect/>
                    </a:stretch>
                  </pic:blipFill>
                  <pic:spPr bwMode="auto">
                    <a:xfrm>
                      <a:off x="0" y="0"/>
                      <a:ext cx="107950" cy="107950"/>
                    </a:xfrm>
                    <a:prstGeom prst="rect">
                      <a:avLst/>
                    </a:prstGeom>
                    <a:noFill/>
                  </pic:spPr>
                </pic:pic>
              </a:graphicData>
            </a:graphic>
          </wp:anchor>
        </w:drawing>
        <w:drawing>
          <wp:anchor simplePos="0" relativeHeight="251657728" behindDoc="1" locked="0" layoutInCell="0" allowOverlap="1">
            <wp:simplePos x="0" y="0"/>
            <wp:positionH relativeFrom="column">
              <wp:posOffset>1487170</wp:posOffset>
            </wp:positionH>
            <wp:positionV relativeFrom="paragraph">
              <wp:posOffset>-114300</wp:posOffset>
            </wp:positionV>
            <wp:extent cx="3026410" cy="416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extLst>
                    </a:blip>
                    <a:srcRect/>
                    <a:stretch>
                      <a:fillRect/>
                    </a:stretch>
                  </pic:blipFill>
                  <pic:spPr bwMode="auto">
                    <a:xfrm>
                      <a:off x="0" y="0"/>
                      <a:ext cx="3026410" cy="416560"/>
                    </a:xfrm>
                    <a:prstGeom prst="rect">
                      <a:avLst/>
                    </a:prstGeom>
                    <a:noFill/>
                  </pic:spPr>
                </pic:pic>
              </a:graphicData>
            </a:graphic>
          </wp:anchor>
        </w:drawing>
      </w:r>
    </w:p>
    <w:p>
      <w:pPr>
        <w:spacing w:after="0" w:line="323" w:lineRule="exact"/>
        <w:rPr>
          <w:sz w:val="20"/>
          <w:szCs w:val="20"/>
          <w:color w:val="auto"/>
        </w:rPr>
      </w:pPr>
    </w:p>
    <w:p>
      <w:pPr>
        <w:ind w:left="100"/>
        <w:spacing w:after="0"/>
        <w:rPr>
          <w:sz w:val="20"/>
          <w:szCs w:val="20"/>
          <w:color w:val="auto"/>
        </w:rPr>
      </w:pPr>
      <w:r>
        <w:rPr>
          <w:rFonts w:ascii="Calibri" w:cs="Calibri" w:eastAsia="Calibri" w:hAnsi="Calibri"/>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-85090</wp:posOffset>
            </wp:positionV>
            <wp:extent cx="107950" cy="170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extLst>
                    </a:blip>
                    <a:srcRect/>
                    <a:stretch>
                      <a:fillRect/>
                    </a:stretch>
                  </pic:blipFill>
                  <pic:spPr bwMode="auto">
                    <a:xfrm>
                      <a:off x="0" y="0"/>
                      <a:ext cx="107950" cy="170180"/>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-44450</wp:posOffset>
            </wp:positionV>
            <wp:extent cx="172085" cy="107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extLst>
                    </a:blip>
                    <a:srcRect/>
                    <a:stretch>
                      <a:fillRect/>
                    </a:stretch>
                  </pic:blipFill>
                  <pic:spPr bwMode="auto">
                    <a:xfrm>
                      <a:off x="0" y="0"/>
                      <a:ext cx="172085" cy="107950"/>
                    </a:xfrm>
                    <a:prstGeom prst="rect">
                      <a:avLst/>
                    </a:prstGeom>
                    <a:noFill/>
                  </pic:spPr>
                </pic:pic>
              </a:graphicData>
            </a:graphic>
          </wp:anchor>
        </w:drawing>
        <w:drawing>
          <wp:anchor simplePos="0" relativeHeight="251657728" behindDoc="1" locked="0" layoutInCell="0" allowOverlap="1">
            <wp:simplePos x="0" y="0"/>
            <wp:positionH relativeFrom="column">
              <wp:posOffset>4309110</wp:posOffset>
            </wp:positionH>
            <wp:positionV relativeFrom="paragraph">
              <wp:posOffset>-104140</wp:posOffset>
            </wp:positionV>
            <wp:extent cx="298450" cy="341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extLst>
                    </a:blip>
                    <a:srcRect/>
                    <a:stretch>
                      <a:fillRect/>
                    </a:stretch>
                  </pic:blipFill>
                  <pic:spPr bwMode="auto">
                    <a:xfrm>
                      <a:off x="0" y="0"/>
                      <a:ext cx="298450" cy="34163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Calibri" w:cs="Calibri" w:eastAsia="Calibri" w:hAnsi="Calibri"/>
          <w:sz w:val="22"/>
          <w:szCs w:val="22"/>
          <w:color w:val="auto"/>
        </w:rPr>
        <w:t xml:space="preserve">-100% </w:t>
      </w:r>
      <w:r>
        <w:rPr>
          <w:sz w:val="1"/>
          <w:szCs w:val="1"/>
          <w:color w:val="auto"/>
        </w:rPr>
        <w:drawing>
          <wp:inline distT="0" distB="0" distL="0" distR="0">
            <wp:extent cx="4385310" cy="781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extLst>
                    </a:blip>
                    <a:srcRect/>
                    <a:stretch>
                      <a:fillRect/>
                    </a:stretch>
                  </pic:blipFill>
                  <pic:spPr bwMode="auto">
                    <a:xfrm>
                      <a:off x="0" y="0"/>
                      <a:ext cx="4385310" cy="78105"/>
                    </a:xfrm>
                    <a:prstGeom prst="rect">
                      <a:avLst/>
                    </a:prstGeom>
                    <a:noFill/>
                    <a:ln>
                      <a:noFill/>
                    </a:ln>
                  </pic:spPr>
                </pic:pic>
              </a:graphicData>
            </a:graphic>
          </wp:inline>
        </w:drawing>
      </w:r>
    </w:p>
    <w:p>
      <w:pPr>
        <w:spacing w:after="0" w:line="12" w:lineRule="exact"/>
        <w:rPr>
          <w:sz w:val="20"/>
          <w:szCs w:val="20"/>
          <w:color w:val="auto"/>
        </w:rPr>
      </w:pPr>
    </w:p>
    <w:p>
      <w:pPr>
        <w:ind w:left="600"/>
        <w:spacing w:after="0"/>
        <w:tabs>
          <w:tab w:leader="none" w:pos="1660" w:val="left"/>
          <w:tab w:leader="none" w:pos="2740" w:val="left"/>
          <w:tab w:leader="none" w:pos="3880" w:val="left"/>
          <w:tab w:leader="none" w:pos="5000" w:val="left"/>
          <w:tab w:leader="none" w:pos="6140" w:val="left"/>
          <w:tab w:leader="none" w:pos="7280" w:val="left"/>
        </w:tabs>
        <w:rPr>
          <w:sz w:val="20"/>
          <w:szCs w:val="20"/>
          <w:color w:val="auto"/>
        </w:rPr>
      </w:pPr>
      <w:r>
        <w:rPr>
          <w:rFonts w:ascii="Calibri" w:cs="Calibri" w:eastAsia="Calibri" w:hAnsi="Calibri"/>
          <w:sz w:val="22"/>
          <w:szCs w:val="22"/>
          <w:color w:val="auto"/>
        </w:rPr>
        <w:t>0</w:t>
      </w:r>
      <w:r>
        <w:rPr>
          <w:sz w:val="20"/>
          <w:szCs w:val="20"/>
          <w:color w:val="auto"/>
        </w:rPr>
        <w:tab/>
      </w:r>
      <w:r>
        <w:rPr>
          <w:rFonts w:ascii="Calibri" w:cs="Calibri" w:eastAsia="Calibri" w:hAnsi="Calibri"/>
          <w:sz w:val="22"/>
          <w:szCs w:val="22"/>
          <w:color w:val="auto"/>
        </w:rPr>
        <w:t>50</w:t>
      </w:r>
      <w:r>
        <w:rPr>
          <w:sz w:val="20"/>
          <w:szCs w:val="20"/>
          <w:color w:val="auto"/>
        </w:rPr>
        <w:tab/>
      </w:r>
      <w:r>
        <w:rPr>
          <w:rFonts w:ascii="Calibri" w:cs="Calibri" w:eastAsia="Calibri" w:hAnsi="Calibri"/>
          <w:sz w:val="22"/>
          <w:szCs w:val="22"/>
          <w:color w:val="auto"/>
        </w:rPr>
        <w:t>100</w:t>
      </w:r>
      <w:r>
        <w:rPr>
          <w:sz w:val="20"/>
          <w:szCs w:val="20"/>
          <w:color w:val="auto"/>
        </w:rPr>
        <w:tab/>
      </w:r>
      <w:r>
        <w:rPr>
          <w:rFonts w:ascii="Calibri" w:cs="Calibri" w:eastAsia="Calibri" w:hAnsi="Calibri"/>
          <w:sz w:val="22"/>
          <w:szCs w:val="22"/>
          <w:color w:val="auto"/>
        </w:rPr>
        <w:t>150</w:t>
      </w:r>
      <w:r>
        <w:rPr>
          <w:sz w:val="20"/>
          <w:szCs w:val="20"/>
          <w:color w:val="auto"/>
        </w:rPr>
        <w:tab/>
      </w:r>
      <w:r>
        <w:rPr>
          <w:rFonts w:ascii="Calibri" w:cs="Calibri" w:eastAsia="Calibri" w:hAnsi="Calibri"/>
          <w:sz w:val="22"/>
          <w:szCs w:val="22"/>
          <w:color w:val="auto"/>
        </w:rPr>
        <w:t>200</w:t>
      </w:r>
      <w:r>
        <w:rPr>
          <w:sz w:val="20"/>
          <w:szCs w:val="20"/>
          <w:color w:val="auto"/>
        </w:rPr>
        <w:tab/>
      </w:r>
      <w:r>
        <w:rPr>
          <w:rFonts w:ascii="Calibri" w:cs="Calibri" w:eastAsia="Calibri" w:hAnsi="Calibri"/>
          <w:sz w:val="22"/>
          <w:szCs w:val="22"/>
          <w:color w:val="auto"/>
        </w:rPr>
        <w:t>250</w:t>
      </w:r>
      <w:r>
        <w:rPr>
          <w:sz w:val="20"/>
          <w:szCs w:val="20"/>
          <w:color w:val="auto"/>
        </w:rPr>
        <w:tab/>
      </w:r>
      <w:r>
        <w:rPr>
          <w:rFonts w:ascii="Calibri" w:cs="Calibri" w:eastAsia="Calibri" w:hAnsi="Calibri"/>
          <w:sz w:val="21"/>
          <w:szCs w:val="21"/>
          <w:color w:val="auto"/>
        </w:rPr>
        <w:t>300</w:t>
      </w:r>
    </w:p>
    <w:p>
      <w:pPr>
        <w:spacing w:after="0" w:line="193" w:lineRule="exact"/>
        <w:rPr>
          <w:sz w:val="20"/>
          <w:szCs w:val="20"/>
          <w:color w:val="auto"/>
        </w:rPr>
      </w:pPr>
    </w:p>
    <w:p>
      <w:pPr>
        <w:sectPr>
          <w:pgSz w:w="12240" w:h="15840" w:orient="portrait"/>
          <w:cols w:equalWidth="0" w:num="2">
            <w:col w:w="1002" w:space="4294967275"/>
            <w:col w:w="8380"/>
          </w:cols>
          <w:pgMar w:left="1440" w:top="950" w:right="1440" w:bottom="348" w:gutter="0" w:footer="0" w:header="0"/>
          <w:type w:val="continuous"/>
        </w:sectPr>
      </w:pPr>
    </w:p>
    <w:p>
      <w:pPr>
        <w:jc w:val="center"/>
        <w:spacing w:after="0"/>
        <w:rPr>
          <w:sz w:val="20"/>
          <w:szCs w:val="20"/>
          <w:color w:val="auto"/>
        </w:rPr>
      </w:pPr>
      <w:r>
        <w:rPr>
          <w:rFonts w:ascii="Calibri" w:cs="Calibri" w:eastAsia="Calibri" w:hAnsi="Calibri"/>
          <w:sz w:val="22"/>
          <w:szCs w:val="22"/>
          <w:color w:val="auto"/>
        </w:rPr>
        <w:t>Dose (mg)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127000</wp:posOffset>
                </wp:positionV>
                <wp:extent cx="5588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pt" to="44pt,10pt" o:allowincell="f" strokecolor="#000000" strokeweight="0.5pt"/>
            </w:pict>
          </mc:Fallback>
        </mc:AlternateContent>
      </w:r>
    </w:p>
    <w:p>
      <w:pPr>
        <w:spacing w:after="0" w:line="260" w:lineRule="exact"/>
        <w:rPr>
          <w:sz w:val="20"/>
          <w:szCs w:val="20"/>
          <w:color w:val="auto"/>
        </w:rPr>
      </w:pPr>
    </w:p>
    <w:p>
      <w:pPr>
        <w:ind w:left="480" w:hanging="480"/>
        <w:spacing w:after="0"/>
        <w:tabs>
          <w:tab w:leader="none" w:pos="4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Jasper internal data (Phase 1a, healthy volunteer study).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Briquilimab in Chronic Urticaria</w:t>
      </w:r>
    </w:p>
    <w:p>
      <w:pPr>
        <w:spacing w:after="0" w:line="177"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color w:val="auto"/>
        </w:rPr>
        <w:t>Mast cells are immune cells that play a key role in the inflammatory response to pathogens or injury and are typically found in the skin, lungs, digestive track, conjunctiva of the eye and the mucosal linings of the mouth and nose. Typically, mast cells are triggered by a specific antigen or antibody interaction to release histamine, a variety of cytokines and other chemical mediators in order fight a potential infection and to recruit additional types of immune cells to aid in the body’s response. However, with certain diseases, such as CSU, CIndU, allergic asthma, prurigo nodularis and eosinophilic esophagitis, the mast cell response is dysregulated and may lead to unwanted responses such as hives, itching, airway constriction or conjunctivitis. Current therapeutic approaches to controlling mast cell response include antihistamines to counteract the release of histamine by activated mast cells, anti-IgE antibody therapy to try to eliminate the antibodies responsible for a trigger of mast cell activation and inhibition of other signaling pathways such as Bruton’s Tyrosine Kinase (“BTK”) or IL4/IL13 that may suppress mast cell activation. We believe that new chronic therapies that target mast cells could be beneficial in treating many diseases that are a function of mast cell dysfunction.</w:t>
      </w:r>
    </w:p>
    <w:p>
      <w:pPr>
        <w:spacing w:after="0" w:line="156"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color w:val="auto"/>
        </w:rPr>
        <w:t>In late 2023, we commenced a Phase 1b/2a clinical trial in patients with CSU. CSU is a disorder of mast cells in the skin in which patients experience swelling, redness and itching of the skin that lasts at least six weeks due to either an unknown cause, Type I autoimmunity with IgE against self or Type IIb autoimmunity with activating antibodies directed at mast cells. CSU is thought to affect over five million patients in the United States, France, Germany, Italy, Spain, and the United Kingdom. The U.S. Food and Drug Administration (the “FDA”)-approved drug therapy for CSU includes second generation H1-antihistamines for first line use followed by consideration for use of omalizumab, a monoclonal antibody directed at circulating IgE; dupilumab, a monoclonal antibody directed at the IL-4 and IL-13 signaling pathways; and remibrutinib, a small molecule inhibitor of BTK. The biologic rationale for these therapies is based on modulating mast cell response. Antihistamines work to counteract the effects of histamine that is released from activated mast cells and the other agents are thought to remove or suppress signaling pathways that trigger mast cell activation. Based on human healthy volunteer clinical data showing that briquilimab can deplete mast cells from the skin and from data in a study of CSU patients showing that an anti-KIT antibody can control disease symptoms, we believe that briquilimab could be effective therapy for CSU patients. The Phase 1b/2a study is a monotherapy study being conducted in CSU patients who are refractory to antihistamine therapy and who</w:t>
      </w:r>
    </w:p>
    <w:p>
      <w:pPr>
        <w:sectPr>
          <w:pgSz w:w="12240" w:h="15840" w:orient="portrait"/>
          <w:cols w:equalWidth="0" w:num="1">
            <w:col w:w="9360"/>
          </w:cols>
          <w:pgMar w:left="1440" w:top="950" w:right="1440" w:bottom="348"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360"/>
          </w:cols>
          <w:pgMar w:left="1440" w:top="950" w:right="1440" w:bottom="348" w:gutter="0" w:footer="0" w:header="0"/>
          <w:type w:val="continuous"/>
        </w:sectPr>
      </w:pPr>
    </w:p>
    <w:bookmarkStart w:id="9" w:name="page10"/>
    <w:bookmarkEnd w:id="9"/>
    <w:p>
      <w:pPr>
        <w:ind w:right="160"/>
        <w:spacing w:after="0" w:line="248" w:lineRule="auto"/>
        <w:rPr>
          <w:sz w:val="20"/>
          <w:szCs w:val="20"/>
          <w:color w:val="auto"/>
        </w:rPr>
      </w:pPr>
      <w:r>
        <w:rPr>
          <w:rFonts w:ascii="Times New Roman" w:cs="Times New Roman" w:eastAsia="Times New Roman" w:hAnsi="Times New Roman"/>
          <w:sz w:val="20"/>
          <w:szCs w:val="20"/>
          <w:color w:val="auto"/>
        </w:rPr>
        <w:t>have had an inadequate response to omalizumab. The study design has three parts. The first part is an open-label 3+3 dose escalation with two dose cohorts (10mg and 40mg). The second part consists of seven dose cohorts (80mg Q8W, 120mg Q8W, 120mg Q12W, 180mg Q8W, 180mg Q12W, 240mg Q8W and 240mg/180mg Q8W) in a double-blind placebo controlled format. The final part is a single dose cohort with two dose levels being explored (240mg single-dose and 360mg single-dose) in a double-blind placebo controlled format.</w:t>
      </w:r>
    </w:p>
    <w:p>
      <w:pPr>
        <w:spacing w:after="0" w:line="2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Figure 2 — Study design for the Phase 1b/2a BEACON study in CSU.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83820</wp:posOffset>
            </wp:positionV>
            <wp:extent cx="5967095" cy="2828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extLst>
                    </a:blip>
                    <a:srcRect/>
                    <a:stretch>
                      <a:fillRect/>
                    </a:stretch>
                  </pic:blipFill>
                  <pic:spPr bwMode="auto">
                    <a:xfrm>
                      <a:off x="0" y="0"/>
                      <a:ext cx="5967095" cy="2828290"/>
                    </a:xfrm>
                    <a:prstGeom prst="rect">
                      <a:avLst/>
                    </a:prstGeom>
                    <a:noFill/>
                  </pic:spPr>
                </pic:pic>
              </a:graphicData>
            </a:graphic>
          </wp:anchor>
        </w:drawing>
      </w: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219"/>
        </w:trPr>
        <w:tc>
          <w:tcPr>
            <w:tcW w:w="1600" w:type="dxa"/>
            <w:vAlign w:val="bottom"/>
          </w:tcPr>
          <w:p>
            <w:pPr>
              <w:spacing w:after="0"/>
              <w:rPr>
                <w:sz w:val="20"/>
                <w:szCs w:val="20"/>
                <w:color w:val="auto"/>
              </w:rPr>
            </w:pPr>
            <w:r>
              <w:rPr>
                <w:rFonts w:ascii="Trebuchet MS" w:cs="Trebuchet MS" w:eastAsia="Trebuchet MS" w:hAnsi="Trebuchet MS"/>
                <w:sz w:val="18"/>
                <w:szCs w:val="18"/>
                <w:b w:val="1"/>
                <w:bCs w:val="1"/>
                <w:color w:val="00001E"/>
                <w:w w:val="94"/>
              </w:rPr>
              <w:t>Screening/Eligibility</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right w:val="single" w:sz="8" w:color="756161"/>
            </w:tcBorders>
          </w:tcPr>
          <w:p>
            <w:pPr>
              <w:spacing w:after="0"/>
              <w:rPr>
                <w:sz w:val="19"/>
                <w:szCs w:val="19"/>
                <w:color w:val="auto"/>
              </w:rPr>
            </w:pPr>
          </w:p>
        </w:tc>
        <w:tc>
          <w:tcPr>
            <w:tcW w:w="2000" w:type="dxa"/>
            <w:vAlign w:val="bottom"/>
            <w:gridSpan w:val="3"/>
          </w:tcPr>
          <w:p>
            <w:pPr>
              <w:ind w:left="60"/>
              <w:spacing w:after="0"/>
              <w:rPr>
                <w:sz w:val="20"/>
                <w:szCs w:val="20"/>
                <w:color w:val="auto"/>
              </w:rPr>
            </w:pPr>
            <w:r>
              <w:rPr>
                <w:rFonts w:ascii="Trebuchet MS" w:cs="Trebuchet MS" w:eastAsia="Trebuchet MS" w:hAnsi="Trebuchet MS"/>
                <w:sz w:val="18"/>
                <w:szCs w:val="18"/>
                <w:b w:val="1"/>
                <w:bCs w:val="1"/>
                <w:color w:val="00001E"/>
              </w:rPr>
              <w:t>Study Operations</w:t>
            </w:r>
          </w:p>
        </w:tc>
        <w:tc>
          <w:tcPr>
            <w:tcW w:w="100" w:type="dxa"/>
            <w:vAlign w:val="bottom"/>
            <w:tcBorders>
              <w:right w:val="single" w:sz="8" w:color="756161"/>
            </w:tcBorders>
          </w:tcPr>
          <w:p>
            <w:pPr>
              <w:spacing w:after="0"/>
              <w:rPr>
                <w:sz w:val="19"/>
                <w:szCs w:val="19"/>
                <w:color w:val="auto"/>
              </w:rPr>
            </w:pPr>
          </w:p>
        </w:tc>
        <w:tc>
          <w:tcPr>
            <w:tcW w:w="1660" w:type="dxa"/>
            <w:vAlign w:val="bottom"/>
          </w:tcPr>
          <w:p>
            <w:pPr>
              <w:ind w:left="60"/>
              <w:spacing w:after="0"/>
              <w:rPr>
                <w:sz w:val="20"/>
                <w:szCs w:val="20"/>
                <w:color w:val="auto"/>
              </w:rPr>
            </w:pPr>
            <w:r>
              <w:rPr>
                <w:rFonts w:ascii="Trebuchet MS" w:cs="Trebuchet MS" w:eastAsia="Trebuchet MS" w:hAnsi="Trebuchet MS"/>
                <w:sz w:val="18"/>
                <w:szCs w:val="18"/>
                <w:b w:val="1"/>
                <w:bCs w:val="1"/>
                <w:color w:val="00001E"/>
              </w:rPr>
              <w:t>Key Assessments</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600" w:type="dxa"/>
            <w:vAlign w:val="bottom"/>
          </w:tcPr>
          <w:p>
            <w:pPr>
              <w:ind w:left="20"/>
              <w:spacing w:after="0"/>
              <w:rPr>
                <w:sz w:val="20"/>
                <w:szCs w:val="20"/>
                <w:color w:val="auto"/>
              </w:rPr>
            </w:pPr>
            <w:r>
              <w:rPr>
                <w:rFonts w:ascii="Trebuchet MS" w:cs="Trebuchet MS" w:eastAsia="Trebuchet MS" w:hAnsi="Trebuchet MS"/>
                <w:sz w:val="16"/>
                <w:szCs w:val="16"/>
                <w:color w:val="00001E"/>
                <w:w w:val="95"/>
              </w:rPr>
              <w:t>CSU diagnosis ≥ 6 mos.</w:t>
            </w:r>
          </w:p>
        </w:tc>
        <w:tc>
          <w:tcPr>
            <w:tcW w:w="1600" w:type="dxa"/>
            <w:vAlign w:val="bottom"/>
            <w:tcBorders>
              <w:right w:val="single" w:sz="8" w:color="756161"/>
            </w:tcBorders>
            <w:gridSpan w:val="3"/>
          </w:tcPr>
          <w:p>
            <w:pPr>
              <w:ind w:left="140"/>
              <w:spacing w:after="0"/>
              <w:rPr>
                <w:sz w:val="20"/>
                <w:szCs w:val="20"/>
                <w:color w:val="auto"/>
              </w:rPr>
            </w:pPr>
            <w:r>
              <w:rPr>
                <w:rFonts w:ascii="Trebuchet MS" w:cs="Trebuchet MS" w:eastAsia="Trebuchet MS" w:hAnsi="Trebuchet MS"/>
                <w:sz w:val="16"/>
                <w:szCs w:val="16"/>
                <w:color w:val="00001E"/>
              </w:rPr>
              <w:t>H1-antihistamine-</w:t>
            </w:r>
          </w:p>
        </w:tc>
        <w:tc>
          <w:tcPr>
            <w:tcW w:w="2000" w:type="dxa"/>
            <w:vAlign w:val="bottom"/>
            <w:gridSpan w:val="3"/>
          </w:tcPr>
          <w:p>
            <w:pPr>
              <w:ind w:left="200"/>
              <w:spacing w:after="0"/>
              <w:rPr>
                <w:sz w:val="20"/>
                <w:szCs w:val="20"/>
                <w:color w:val="auto"/>
              </w:rPr>
            </w:pPr>
            <w:r>
              <w:rPr>
                <w:rFonts w:ascii="Trebuchet MS" w:cs="Trebuchet MS" w:eastAsia="Trebuchet MS" w:hAnsi="Trebuchet MS"/>
                <w:sz w:val="16"/>
                <w:szCs w:val="16"/>
                <w:b w:val="1"/>
                <w:bCs w:val="1"/>
                <w:color w:val="00001E"/>
                <w:w w:val="93"/>
              </w:rPr>
              <w:t>US Lead: Tom Casale, MD</w:t>
            </w:r>
          </w:p>
        </w:tc>
        <w:tc>
          <w:tcPr>
            <w:tcW w:w="100" w:type="dxa"/>
            <w:vAlign w:val="bottom"/>
            <w:tcBorders>
              <w:right w:val="single" w:sz="8" w:color="756161"/>
            </w:tcBorders>
          </w:tcPr>
          <w:p>
            <w:pPr>
              <w:spacing w:after="0"/>
              <w:rPr>
                <w:sz w:val="17"/>
                <w:szCs w:val="17"/>
                <w:color w:val="auto"/>
              </w:rPr>
            </w:pPr>
          </w:p>
        </w:tc>
        <w:tc>
          <w:tcPr>
            <w:tcW w:w="1660" w:type="dxa"/>
            <w:vAlign w:val="bottom"/>
          </w:tcPr>
          <w:p>
            <w:pPr>
              <w:ind w:left="200"/>
              <w:spacing w:after="0"/>
              <w:rPr>
                <w:sz w:val="20"/>
                <w:szCs w:val="20"/>
                <w:color w:val="auto"/>
              </w:rPr>
            </w:pPr>
            <w:r>
              <w:rPr>
                <w:rFonts w:ascii="Trebuchet MS" w:cs="Trebuchet MS" w:eastAsia="Trebuchet MS" w:hAnsi="Trebuchet MS"/>
                <w:sz w:val="16"/>
                <w:szCs w:val="16"/>
                <w:b w:val="1"/>
                <w:bCs w:val="1"/>
                <w:color w:val="00001E"/>
                <w:w w:val="89"/>
              </w:rPr>
              <w:t xml:space="preserve">Disease Scores: </w:t>
            </w:r>
            <w:r>
              <w:rPr>
                <w:rFonts w:ascii="Trebuchet MS" w:cs="Trebuchet MS" w:eastAsia="Trebuchet MS" w:hAnsi="Trebuchet MS"/>
                <w:sz w:val="16"/>
                <w:szCs w:val="16"/>
                <w:color w:val="00001E"/>
                <w:w w:val="89"/>
              </w:rPr>
              <w:t>UAS7,</w:t>
            </w:r>
          </w:p>
        </w:tc>
        <w:tc>
          <w:tcPr>
            <w:tcW w:w="1820" w:type="dxa"/>
            <w:vAlign w:val="bottom"/>
          </w:tcPr>
          <w:p>
            <w:pPr>
              <w:ind w:left="340"/>
              <w:spacing w:after="0"/>
              <w:rPr>
                <w:sz w:val="20"/>
                <w:szCs w:val="20"/>
                <w:color w:val="auto"/>
              </w:rPr>
            </w:pPr>
            <w:r>
              <w:rPr>
                <w:rFonts w:ascii="Trebuchet MS" w:cs="Trebuchet MS" w:eastAsia="Trebuchet MS" w:hAnsi="Trebuchet MS"/>
                <w:sz w:val="16"/>
                <w:szCs w:val="16"/>
                <w:b w:val="1"/>
                <w:bCs w:val="1"/>
                <w:color w:val="00001E"/>
                <w:w w:val="91"/>
              </w:rPr>
              <w:t>Mast Cell Depletion &amp;</w:t>
            </w:r>
          </w:p>
        </w:tc>
        <w:tc>
          <w:tcPr>
            <w:tcW w:w="0" w:type="dxa"/>
            <w:vAlign w:val="bottom"/>
          </w:tcPr>
          <w:p>
            <w:pPr>
              <w:spacing w:after="0"/>
              <w:rPr>
                <w:sz w:val="1"/>
                <w:szCs w:val="1"/>
                <w:color w:val="auto"/>
              </w:rPr>
            </w:pPr>
          </w:p>
        </w:tc>
      </w:tr>
      <w:tr>
        <w:trPr>
          <w:trHeight w:val="160"/>
        </w:trPr>
        <w:tc>
          <w:tcPr>
            <w:tcW w:w="1600" w:type="dxa"/>
            <w:vAlign w:val="bottom"/>
            <w:vMerge w:val="restart"/>
          </w:tcPr>
          <w:p>
            <w:pPr>
              <w:ind w:left="20"/>
              <w:spacing w:after="0"/>
              <w:rPr>
                <w:sz w:val="20"/>
                <w:szCs w:val="20"/>
                <w:color w:val="auto"/>
              </w:rPr>
            </w:pPr>
            <w:r>
              <w:rPr>
                <w:rFonts w:ascii="Trebuchet MS" w:cs="Trebuchet MS" w:eastAsia="Trebuchet MS" w:hAnsi="Trebuchet MS"/>
                <w:sz w:val="16"/>
                <w:szCs w:val="16"/>
                <w:color w:val="00001E"/>
              </w:rPr>
              <w:t>UAS7 ≥ 16</w:t>
            </w:r>
          </w:p>
        </w:tc>
        <w:tc>
          <w:tcPr>
            <w:tcW w:w="1020" w:type="dxa"/>
            <w:vAlign w:val="bottom"/>
          </w:tcPr>
          <w:p>
            <w:pPr>
              <w:ind w:left="140"/>
              <w:spacing w:after="0" w:line="160" w:lineRule="exact"/>
              <w:rPr>
                <w:sz w:val="20"/>
                <w:szCs w:val="20"/>
                <w:color w:val="auto"/>
              </w:rPr>
            </w:pPr>
            <w:r>
              <w:rPr>
                <w:rFonts w:ascii="Trebuchet MS" w:cs="Trebuchet MS" w:eastAsia="Trebuchet MS" w:hAnsi="Trebuchet MS"/>
                <w:sz w:val="16"/>
                <w:szCs w:val="16"/>
                <w:color w:val="00001E"/>
              </w:rPr>
              <w:t>failed</w:t>
            </w:r>
          </w:p>
        </w:tc>
        <w:tc>
          <w:tcPr>
            <w:tcW w:w="20" w:type="dxa"/>
            <w:vAlign w:val="bottom"/>
          </w:tcPr>
          <w:p>
            <w:pPr>
              <w:spacing w:after="0"/>
              <w:rPr>
                <w:sz w:val="13"/>
                <w:szCs w:val="13"/>
                <w:color w:val="auto"/>
              </w:rPr>
            </w:pPr>
          </w:p>
        </w:tc>
        <w:tc>
          <w:tcPr>
            <w:tcW w:w="560" w:type="dxa"/>
            <w:vAlign w:val="bottom"/>
            <w:tcBorders>
              <w:right w:val="single" w:sz="8" w:color="756161"/>
            </w:tcBorders>
          </w:tcPr>
          <w:p>
            <w:pPr>
              <w:spacing w:after="0"/>
              <w:rPr>
                <w:sz w:val="13"/>
                <w:szCs w:val="13"/>
                <w:color w:val="auto"/>
              </w:rPr>
            </w:pPr>
          </w:p>
        </w:tc>
        <w:tc>
          <w:tcPr>
            <w:tcW w:w="2000" w:type="dxa"/>
            <w:vAlign w:val="bottom"/>
            <w:gridSpan w:val="3"/>
            <w:vMerge w:val="restart"/>
          </w:tcPr>
          <w:p>
            <w:pPr>
              <w:ind w:left="200"/>
              <w:spacing w:after="0"/>
              <w:rPr>
                <w:sz w:val="20"/>
                <w:szCs w:val="20"/>
                <w:color w:val="auto"/>
              </w:rPr>
            </w:pPr>
            <w:r>
              <w:rPr>
                <w:rFonts w:ascii="Trebuchet MS" w:cs="Trebuchet MS" w:eastAsia="Trebuchet MS" w:hAnsi="Trebuchet MS"/>
                <w:sz w:val="16"/>
                <w:szCs w:val="16"/>
                <w:b w:val="1"/>
                <w:bCs w:val="1"/>
                <w:color w:val="00001E"/>
                <w:w w:val="91"/>
              </w:rPr>
              <w:t>EU Lead: Martin Metz, MD</w:t>
            </w:r>
          </w:p>
        </w:tc>
        <w:tc>
          <w:tcPr>
            <w:tcW w:w="100" w:type="dxa"/>
            <w:vAlign w:val="bottom"/>
            <w:tcBorders>
              <w:right w:val="single" w:sz="8" w:color="756161"/>
            </w:tcBorders>
          </w:tcPr>
          <w:p>
            <w:pPr>
              <w:spacing w:after="0"/>
              <w:rPr>
                <w:sz w:val="13"/>
                <w:szCs w:val="13"/>
                <w:color w:val="auto"/>
              </w:rPr>
            </w:pPr>
          </w:p>
        </w:tc>
        <w:tc>
          <w:tcPr>
            <w:tcW w:w="1660" w:type="dxa"/>
            <w:vAlign w:val="bottom"/>
          </w:tcPr>
          <w:p>
            <w:pPr>
              <w:ind w:left="200"/>
              <w:spacing w:after="0" w:line="160" w:lineRule="exact"/>
              <w:rPr>
                <w:sz w:val="20"/>
                <w:szCs w:val="20"/>
                <w:color w:val="auto"/>
              </w:rPr>
            </w:pPr>
            <w:r>
              <w:rPr>
                <w:rFonts w:ascii="Trebuchet MS" w:cs="Trebuchet MS" w:eastAsia="Trebuchet MS" w:hAnsi="Trebuchet MS"/>
                <w:sz w:val="16"/>
                <w:szCs w:val="16"/>
                <w:color w:val="00001E"/>
              </w:rPr>
              <w:t>UCT</w:t>
            </w:r>
          </w:p>
        </w:tc>
        <w:tc>
          <w:tcPr>
            <w:tcW w:w="1820" w:type="dxa"/>
            <w:vAlign w:val="bottom"/>
          </w:tcPr>
          <w:p>
            <w:pPr>
              <w:ind w:left="340"/>
              <w:spacing w:after="0" w:line="160" w:lineRule="exact"/>
              <w:rPr>
                <w:sz w:val="20"/>
                <w:szCs w:val="20"/>
                <w:color w:val="auto"/>
              </w:rPr>
            </w:pPr>
            <w:r>
              <w:rPr>
                <w:rFonts w:ascii="Trebuchet MS" w:cs="Trebuchet MS" w:eastAsia="Trebuchet MS" w:hAnsi="Trebuchet MS"/>
                <w:sz w:val="16"/>
                <w:szCs w:val="16"/>
                <w:b w:val="1"/>
                <w:bCs w:val="1"/>
                <w:color w:val="00001E"/>
              </w:rPr>
              <w:t xml:space="preserve">Recovery: </w:t>
            </w:r>
            <w:r>
              <w:rPr>
                <w:rFonts w:ascii="Trebuchet MS" w:cs="Trebuchet MS" w:eastAsia="Trebuchet MS" w:hAnsi="Trebuchet MS"/>
                <w:sz w:val="16"/>
                <w:szCs w:val="16"/>
                <w:color w:val="00001E"/>
              </w:rPr>
              <w:t>Serum</w:t>
            </w:r>
          </w:p>
        </w:tc>
        <w:tc>
          <w:tcPr>
            <w:tcW w:w="0" w:type="dxa"/>
            <w:vAlign w:val="bottom"/>
          </w:tcPr>
          <w:p>
            <w:pPr>
              <w:spacing w:after="0"/>
              <w:rPr>
                <w:sz w:val="1"/>
                <w:szCs w:val="1"/>
                <w:color w:val="auto"/>
              </w:rPr>
            </w:pPr>
          </w:p>
        </w:tc>
      </w:tr>
      <w:tr>
        <w:trPr>
          <w:trHeight w:val="97"/>
        </w:trPr>
        <w:tc>
          <w:tcPr>
            <w:tcW w:w="16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right w:val="single" w:sz="8" w:color="756161"/>
            </w:tcBorders>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00" w:type="dxa"/>
            <w:vAlign w:val="bottom"/>
            <w:tcBorders>
              <w:right w:val="single" w:sz="8" w:color="756161"/>
            </w:tcBorders>
          </w:tcPr>
          <w:p>
            <w:pPr>
              <w:spacing w:after="0"/>
              <w:rPr>
                <w:sz w:val="8"/>
                <w:szCs w:val="8"/>
                <w:color w:val="auto"/>
              </w:rPr>
            </w:pPr>
          </w:p>
        </w:tc>
        <w:tc>
          <w:tcPr>
            <w:tcW w:w="1660" w:type="dxa"/>
            <w:vAlign w:val="bottom"/>
            <w:vMerge w:val="restart"/>
          </w:tcPr>
          <w:p>
            <w:pPr>
              <w:ind w:left="200"/>
              <w:spacing w:after="0"/>
              <w:rPr>
                <w:sz w:val="20"/>
                <w:szCs w:val="20"/>
                <w:color w:val="auto"/>
              </w:rPr>
            </w:pPr>
            <w:r>
              <w:rPr>
                <w:rFonts w:ascii="Trebuchet MS" w:cs="Trebuchet MS" w:eastAsia="Trebuchet MS" w:hAnsi="Trebuchet MS"/>
                <w:sz w:val="16"/>
                <w:szCs w:val="16"/>
                <w:b w:val="1"/>
                <w:bCs w:val="1"/>
                <w:color w:val="00001E"/>
              </w:rPr>
              <w:t xml:space="preserve">Safety: </w:t>
            </w:r>
            <w:r>
              <w:rPr>
                <w:rFonts w:ascii="Trebuchet MS" w:cs="Trebuchet MS" w:eastAsia="Trebuchet MS" w:hAnsi="Trebuchet MS"/>
                <w:sz w:val="16"/>
                <w:szCs w:val="16"/>
                <w:color w:val="00001E"/>
              </w:rPr>
              <w:t>TEAES, SAEs</w:t>
            </w:r>
          </w:p>
        </w:tc>
        <w:tc>
          <w:tcPr>
            <w:tcW w:w="1820" w:type="dxa"/>
            <w:vAlign w:val="bottom"/>
            <w:vMerge w:val="restart"/>
          </w:tcPr>
          <w:p>
            <w:pPr>
              <w:ind w:left="340"/>
              <w:spacing w:after="0" w:line="166" w:lineRule="exact"/>
              <w:rPr>
                <w:sz w:val="20"/>
                <w:szCs w:val="20"/>
                <w:color w:val="auto"/>
              </w:rPr>
            </w:pPr>
            <w:r>
              <w:rPr>
                <w:rFonts w:ascii="Trebuchet MS" w:cs="Trebuchet MS" w:eastAsia="Trebuchet MS" w:hAnsi="Trebuchet MS"/>
                <w:sz w:val="16"/>
                <w:szCs w:val="16"/>
                <w:color w:val="00001E"/>
                <w:w w:val="88"/>
              </w:rPr>
              <w:t>Tryptase, Skin Biopsies</w:t>
            </w:r>
          </w:p>
        </w:tc>
        <w:tc>
          <w:tcPr>
            <w:tcW w:w="0" w:type="dxa"/>
            <w:vAlign w:val="bottom"/>
          </w:tcPr>
          <w:p>
            <w:pPr>
              <w:spacing w:after="0"/>
              <w:rPr>
                <w:sz w:val="1"/>
                <w:szCs w:val="1"/>
                <w:color w:val="auto"/>
              </w:rPr>
            </w:pPr>
          </w:p>
        </w:tc>
      </w:tr>
      <w:tr>
        <w:trPr>
          <w:trHeight w:val="69"/>
        </w:trPr>
        <w:tc>
          <w:tcPr>
            <w:tcW w:w="1600" w:type="dxa"/>
            <w:vAlign w:val="bottom"/>
            <w:vMerge w:val="restart"/>
          </w:tcPr>
          <w:p>
            <w:pPr>
              <w:ind w:left="20"/>
              <w:spacing w:after="0"/>
              <w:rPr>
                <w:sz w:val="20"/>
                <w:szCs w:val="20"/>
                <w:color w:val="auto"/>
              </w:rPr>
            </w:pPr>
            <w:r>
              <w:rPr>
                <w:rFonts w:ascii="Trebuchet MS" w:cs="Trebuchet MS" w:eastAsia="Trebuchet MS" w:hAnsi="Trebuchet MS"/>
                <w:sz w:val="16"/>
                <w:szCs w:val="16"/>
                <w:color w:val="00001E"/>
              </w:rPr>
              <w:t>18+ years</w:t>
            </w: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Borders>
              <w:right w:val="single" w:sz="8" w:color="756161"/>
            </w:tcBorders>
          </w:tcPr>
          <w:p>
            <w:pPr>
              <w:spacing w:after="0"/>
              <w:rPr>
                <w:sz w:val="5"/>
                <w:szCs w:val="5"/>
                <w:color w:val="auto"/>
              </w:rPr>
            </w:pPr>
          </w:p>
        </w:tc>
        <w:tc>
          <w:tcPr>
            <w:tcW w:w="2000" w:type="dxa"/>
            <w:vAlign w:val="bottom"/>
            <w:gridSpan w:val="3"/>
            <w:vMerge w:val="restart"/>
          </w:tcPr>
          <w:p>
            <w:pPr>
              <w:ind w:left="200"/>
              <w:spacing w:after="0"/>
              <w:rPr>
                <w:sz w:val="20"/>
                <w:szCs w:val="20"/>
                <w:color w:val="auto"/>
              </w:rPr>
            </w:pPr>
            <w:r>
              <w:rPr>
                <w:rFonts w:ascii="Trebuchet MS" w:cs="Trebuchet MS" w:eastAsia="Trebuchet MS" w:hAnsi="Trebuchet MS"/>
                <w:sz w:val="16"/>
                <w:szCs w:val="16"/>
                <w:color w:val="00001E"/>
              </w:rPr>
              <w:t>-30 sites in the US &amp; EU</w:t>
            </w:r>
          </w:p>
        </w:tc>
        <w:tc>
          <w:tcPr>
            <w:tcW w:w="100" w:type="dxa"/>
            <w:vAlign w:val="bottom"/>
            <w:tcBorders>
              <w:right w:val="single" w:sz="8" w:color="756161"/>
            </w:tcBorders>
          </w:tcPr>
          <w:p>
            <w:pPr>
              <w:spacing w:after="0"/>
              <w:rPr>
                <w:sz w:val="5"/>
                <w:szCs w:val="5"/>
                <w:color w:val="auto"/>
              </w:rPr>
            </w:pPr>
          </w:p>
        </w:tc>
        <w:tc>
          <w:tcPr>
            <w:tcW w:w="1660" w:type="dxa"/>
            <w:vAlign w:val="bottom"/>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600" w:type="dxa"/>
            <w:vAlign w:val="bottom"/>
            <w:vMerge w:val="continue"/>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Borders>
              <w:right w:val="single" w:sz="8" w:color="756161"/>
            </w:tcBorders>
          </w:tcPr>
          <w:p>
            <w:pPr>
              <w:spacing w:after="0"/>
              <w:rPr>
                <w:sz w:val="3"/>
                <w:szCs w:val="3"/>
                <w:color w:val="auto"/>
              </w:rPr>
            </w:pPr>
          </w:p>
        </w:tc>
        <w:tc>
          <w:tcPr>
            <w:tcW w:w="2000" w:type="dxa"/>
            <w:vAlign w:val="bottom"/>
            <w:gridSpan w:val="3"/>
            <w:vMerge w:val="continue"/>
          </w:tcPr>
          <w:p>
            <w:pPr>
              <w:spacing w:after="0"/>
              <w:rPr>
                <w:sz w:val="3"/>
                <w:szCs w:val="3"/>
                <w:color w:val="auto"/>
              </w:rPr>
            </w:pPr>
          </w:p>
        </w:tc>
        <w:tc>
          <w:tcPr>
            <w:tcW w:w="100" w:type="dxa"/>
            <w:vAlign w:val="bottom"/>
            <w:tcBorders>
              <w:right w:val="single" w:sz="8" w:color="756161"/>
            </w:tcBorders>
          </w:tcPr>
          <w:p>
            <w:pPr>
              <w:spacing w:after="0"/>
              <w:rPr>
                <w:sz w:val="3"/>
                <w:szCs w:val="3"/>
                <w:color w:val="auto"/>
              </w:rPr>
            </w:pPr>
          </w:p>
        </w:tc>
        <w:tc>
          <w:tcPr>
            <w:tcW w:w="1660" w:type="dxa"/>
            <w:vAlign w:val="bottom"/>
            <w:vMerge w:val="continue"/>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2"/>
        </w:trPr>
        <w:tc>
          <w:tcPr>
            <w:tcW w:w="16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right w:val="single" w:sz="8" w:color="756161"/>
            </w:tcBorders>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00" w:type="dxa"/>
            <w:vAlign w:val="bottom"/>
            <w:tcBorders>
              <w:right w:val="single" w:sz="8" w:color="756161"/>
            </w:tcBorders>
          </w:tcPr>
          <w:p>
            <w:pPr>
              <w:spacing w:after="0"/>
              <w:rPr>
                <w:sz w:val="9"/>
                <w:szCs w:val="9"/>
                <w:color w:val="auto"/>
              </w:rPr>
            </w:pPr>
          </w:p>
        </w:tc>
        <w:tc>
          <w:tcPr>
            <w:tcW w:w="1660" w:type="dxa"/>
            <w:vAlign w:val="bottom"/>
            <w:vMerge w:val="restart"/>
          </w:tcPr>
          <w:p>
            <w:pPr>
              <w:ind w:left="220"/>
              <w:spacing w:after="0"/>
              <w:rPr>
                <w:sz w:val="20"/>
                <w:szCs w:val="20"/>
                <w:color w:val="auto"/>
              </w:rPr>
            </w:pPr>
            <w:r>
              <w:rPr>
                <w:rFonts w:ascii="Trebuchet MS" w:cs="Trebuchet MS" w:eastAsia="Trebuchet MS" w:hAnsi="Trebuchet MS"/>
                <w:sz w:val="16"/>
                <w:szCs w:val="16"/>
                <w:b w:val="1"/>
                <w:bCs w:val="1"/>
                <w:color w:val="00001E"/>
              </w:rPr>
              <w:t>PK</w:t>
            </w: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right w:val="single" w:sz="8" w:color="756161"/>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Borders>
              <w:right w:val="single" w:sz="8" w:color="756161"/>
            </w:tcBorders>
          </w:tcPr>
          <w:p>
            <w:pPr>
              <w:spacing w:after="0"/>
              <w:rPr>
                <w:sz w:val="9"/>
                <w:szCs w:val="9"/>
                <w:color w:val="auto"/>
              </w:rPr>
            </w:pPr>
          </w:p>
        </w:tc>
        <w:tc>
          <w:tcPr>
            <w:tcW w:w="166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1600" w:type="dxa"/>
            <w:vAlign w:val="bottom"/>
          </w:tcPr>
          <w:p>
            <w:pPr>
              <w:spacing w:after="0"/>
              <w:rPr>
                <w:sz w:val="20"/>
                <w:szCs w:val="20"/>
                <w:color w:val="auto"/>
              </w:rPr>
            </w:pPr>
          </w:p>
        </w:tc>
        <w:tc>
          <w:tcPr>
            <w:tcW w:w="1020" w:type="dxa"/>
            <w:vAlign w:val="bottom"/>
            <w:vMerge w:val="restart"/>
          </w:tcPr>
          <w:p>
            <w:pPr>
              <w:ind w:left="20"/>
              <w:spacing w:after="0"/>
              <w:rPr>
                <w:sz w:val="20"/>
                <w:szCs w:val="20"/>
                <w:color w:val="auto"/>
              </w:rPr>
            </w:pPr>
            <w:r>
              <w:rPr>
                <w:rFonts w:ascii="Trebuchet MS" w:cs="Trebuchet MS" w:eastAsia="Trebuchet MS" w:hAnsi="Trebuchet MS"/>
                <w:sz w:val="16"/>
                <w:szCs w:val="16"/>
                <w:b w:val="1"/>
                <w:bCs w:val="1"/>
                <w:color w:val="F3F3F2"/>
              </w:rPr>
              <w:t>C o h o r t #</w:t>
            </w:r>
          </w:p>
        </w:tc>
        <w:tc>
          <w:tcPr>
            <w:tcW w:w="20" w:type="dxa"/>
            <w:vAlign w:val="bottom"/>
          </w:tcPr>
          <w:p>
            <w:pPr>
              <w:spacing w:after="0"/>
              <w:rPr>
                <w:sz w:val="20"/>
                <w:szCs w:val="20"/>
                <w:color w:val="auto"/>
              </w:rPr>
            </w:pPr>
          </w:p>
        </w:tc>
        <w:tc>
          <w:tcPr>
            <w:tcW w:w="1220" w:type="dxa"/>
            <w:vAlign w:val="bottom"/>
            <w:gridSpan w:val="2"/>
          </w:tcPr>
          <w:p>
            <w:pPr>
              <w:jc w:val="center"/>
              <w:ind w:right="58"/>
              <w:spacing w:after="0"/>
              <w:rPr>
                <w:sz w:val="20"/>
                <w:szCs w:val="20"/>
                <w:color w:val="auto"/>
              </w:rPr>
            </w:pPr>
            <w:r>
              <w:rPr>
                <w:rFonts w:ascii="Trebuchet MS" w:cs="Trebuchet MS" w:eastAsia="Trebuchet MS" w:hAnsi="Trebuchet MS"/>
                <w:sz w:val="16"/>
                <w:szCs w:val="16"/>
                <w:b w:val="1"/>
                <w:bCs w:val="1"/>
                <w:color w:val="F3F3F2"/>
                <w:w w:val="76"/>
              </w:rPr>
              <w:t>P a t i e n t s</w:t>
            </w:r>
          </w:p>
        </w:tc>
        <w:tc>
          <w:tcPr>
            <w:tcW w:w="20" w:type="dxa"/>
            <w:vAlign w:val="bottom"/>
          </w:tcPr>
          <w:p>
            <w:pPr>
              <w:spacing w:after="0"/>
              <w:rPr>
                <w:sz w:val="20"/>
                <w:szCs w:val="20"/>
                <w:color w:val="auto"/>
              </w:rPr>
            </w:pPr>
          </w:p>
        </w:tc>
        <w:tc>
          <w:tcPr>
            <w:tcW w:w="1320" w:type="dxa"/>
            <w:vAlign w:val="bottom"/>
            <w:vMerge w:val="restart"/>
          </w:tcPr>
          <w:p>
            <w:pPr>
              <w:ind w:left="360"/>
              <w:spacing w:after="0"/>
              <w:rPr>
                <w:sz w:val="20"/>
                <w:szCs w:val="20"/>
                <w:color w:val="auto"/>
              </w:rPr>
            </w:pPr>
            <w:r>
              <w:rPr>
                <w:rFonts w:ascii="Trebuchet MS" w:cs="Trebuchet MS" w:eastAsia="Trebuchet MS" w:hAnsi="Trebuchet MS"/>
                <w:sz w:val="16"/>
                <w:szCs w:val="16"/>
                <w:b w:val="1"/>
                <w:bCs w:val="1"/>
                <w:color w:val="F3F3F2"/>
              </w:rPr>
              <w:t>D o s e</w:t>
            </w:r>
          </w:p>
        </w:tc>
        <w:tc>
          <w:tcPr>
            <w:tcW w:w="100" w:type="dxa"/>
            <w:vAlign w:val="bottom"/>
          </w:tcPr>
          <w:p>
            <w:pPr>
              <w:spacing w:after="0"/>
              <w:rPr>
                <w:sz w:val="20"/>
                <w:szCs w:val="20"/>
                <w:color w:val="auto"/>
              </w:rPr>
            </w:pPr>
          </w:p>
        </w:tc>
        <w:tc>
          <w:tcPr>
            <w:tcW w:w="3480" w:type="dxa"/>
            <w:vAlign w:val="bottom"/>
            <w:gridSpan w:val="2"/>
            <w:vMerge w:val="restart"/>
          </w:tcPr>
          <w:p>
            <w:pPr>
              <w:ind w:left="1380"/>
              <w:spacing w:after="0"/>
              <w:rPr>
                <w:sz w:val="20"/>
                <w:szCs w:val="20"/>
                <w:color w:val="auto"/>
              </w:rPr>
            </w:pPr>
            <w:r>
              <w:rPr>
                <w:rFonts w:ascii="Trebuchet MS" w:cs="Trebuchet MS" w:eastAsia="Trebuchet MS" w:hAnsi="Trebuchet MS"/>
                <w:sz w:val="16"/>
                <w:szCs w:val="16"/>
                <w:b w:val="1"/>
                <w:bCs w:val="1"/>
                <w:color w:val="F3F3F2"/>
              </w:rPr>
              <w:t>S c h e d u l e</w:t>
            </w:r>
          </w:p>
        </w:tc>
        <w:tc>
          <w:tcPr>
            <w:tcW w:w="0" w:type="dxa"/>
            <w:vAlign w:val="bottom"/>
          </w:tcPr>
          <w:p>
            <w:pPr>
              <w:spacing w:after="0"/>
              <w:rPr>
                <w:sz w:val="1"/>
                <w:szCs w:val="1"/>
                <w:color w:val="auto"/>
              </w:rPr>
            </w:pPr>
          </w:p>
        </w:tc>
      </w:tr>
      <w:tr>
        <w:trPr>
          <w:trHeight w:val="172"/>
        </w:trPr>
        <w:tc>
          <w:tcPr>
            <w:tcW w:w="16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jc w:val="center"/>
              <w:ind w:right="38"/>
              <w:spacing w:after="0"/>
              <w:rPr>
                <w:sz w:val="20"/>
                <w:szCs w:val="20"/>
                <w:color w:val="auto"/>
              </w:rPr>
            </w:pPr>
            <w:r>
              <w:rPr>
                <w:rFonts w:ascii="Trebuchet MS" w:cs="Trebuchet MS" w:eastAsia="Trebuchet MS" w:hAnsi="Trebuchet MS"/>
                <w:sz w:val="14"/>
                <w:szCs w:val="14"/>
                <w:b w:val="1"/>
                <w:bCs w:val="1"/>
                <w:color w:val="F3F3F2"/>
                <w:w w:val="83"/>
              </w:rPr>
              <w:t>(Randomization)</w:t>
            </w:r>
          </w:p>
        </w:tc>
        <w:tc>
          <w:tcPr>
            <w:tcW w:w="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600" w:type="dxa"/>
            <w:vAlign w:val="bottom"/>
          </w:tcPr>
          <w:p>
            <w:pPr>
              <w:ind w:left="20"/>
              <w:spacing w:after="0"/>
              <w:rPr>
                <w:sz w:val="20"/>
                <w:szCs w:val="20"/>
                <w:color w:val="auto"/>
              </w:rPr>
            </w:pPr>
            <w:r>
              <w:rPr>
                <w:rFonts w:ascii="Trebuchet MS" w:cs="Trebuchet MS" w:eastAsia="Trebuchet MS" w:hAnsi="Trebuchet MS"/>
                <w:sz w:val="16"/>
                <w:szCs w:val="16"/>
                <w:b w:val="1"/>
                <w:bCs w:val="1"/>
                <w:color w:val="00001E"/>
              </w:rPr>
              <w:t>Open Label (n=6)</w:t>
            </w:r>
          </w:p>
        </w:tc>
        <w:tc>
          <w:tcPr>
            <w:tcW w:w="1020" w:type="dxa"/>
            <w:vAlign w:val="bottom"/>
          </w:tcPr>
          <w:p>
            <w:pPr>
              <w:jc w:val="center"/>
              <w:ind w:right="80"/>
              <w:spacing w:after="0"/>
              <w:rPr>
                <w:sz w:val="20"/>
                <w:szCs w:val="20"/>
                <w:color w:val="auto"/>
              </w:rPr>
            </w:pPr>
            <w:r>
              <w:rPr>
                <w:rFonts w:ascii="Trebuchet MS" w:cs="Trebuchet MS" w:eastAsia="Trebuchet MS" w:hAnsi="Trebuchet MS"/>
                <w:sz w:val="16"/>
                <w:szCs w:val="16"/>
                <w:color w:val="00001E"/>
                <w:w w:val="94"/>
              </w:rPr>
              <w:t>C1 &amp; C2</w:t>
            </w:r>
          </w:p>
        </w:tc>
        <w:tc>
          <w:tcPr>
            <w:tcW w:w="20" w:type="dxa"/>
            <w:vAlign w:val="bottom"/>
          </w:tcPr>
          <w:p>
            <w:pPr>
              <w:spacing w:after="0"/>
              <w:rPr>
                <w:sz w:val="22"/>
                <w:szCs w:val="22"/>
                <w:color w:val="auto"/>
              </w:rPr>
            </w:pPr>
          </w:p>
        </w:tc>
        <w:tc>
          <w:tcPr>
            <w:tcW w:w="1220" w:type="dxa"/>
            <w:vAlign w:val="bottom"/>
            <w:gridSpan w:val="2"/>
          </w:tcPr>
          <w:p>
            <w:pPr>
              <w:ind w:left="60"/>
              <w:spacing w:after="0"/>
              <w:rPr>
                <w:sz w:val="20"/>
                <w:szCs w:val="20"/>
                <w:color w:val="auto"/>
              </w:rPr>
            </w:pPr>
            <w:r>
              <w:rPr>
                <w:rFonts w:ascii="Trebuchet MS" w:cs="Trebuchet MS" w:eastAsia="Trebuchet MS" w:hAnsi="Trebuchet MS"/>
                <w:sz w:val="16"/>
                <w:szCs w:val="16"/>
                <w:color w:val="00001E"/>
              </w:rPr>
              <w:t>n=3+3 per dose</w:t>
            </w:r>
          </w:p>
        </w:tc>
        <w:tc>
          <w:tcPr>
            <w:tcW w:w="20" w:type="dxa"/>
            <w:vAlign w:val="bottom"/>
          </w:tcPr>
          <w:p>
            <w:pPr>
              <w:spacing w:after="0"/>
              <w:rPr>
                <w:sz w:val="22"/>
                <w:szCs w:val="22"/>
                <w:color w:val="auto"/>
              </w:rPr>
            </w:pPr>
          </w:p>
        </w:tc>
        <w:tc>
          <w:tcPr>
            <w:tcW w:w="1320" w:type="dxa"/>
            <w:vAlign w:val="bottom"/>
          </w:tcPr>
          <w:p>
            <w:pPr>
              <w:jc w:val="center"/>
              <w:ind w:right="40"/>
              <w:spacing w:after="0"/>
              <w:rPr>
                <w:sz w:val="20"/>
                <w:szCs w:val="20"/>
                <w:color w:val="auto"/>
              </w:rPr>
            </w:pPr>
            <w:r>
              <w:rPr>
                <w:rFonts w:ascii="Trebuchet MS" w:cs="Trebuchet MS" w:eastAsia="Trebuchet MS" w:hAnsi="Trebuchet MS"/>
                <w:sz w:val="16"/>
                <w:szCs w:val="16"/>
                <w:color w:val="00001E"/>
                <w:w w:val="94"/>
              </w:rPr>
              <w:t>10mg &amp; 40mg</w:t>
            </w:r>
          </w:p>
        </w:tc>
        <w:tc>
          <w:tcPr>
            <w:tcW w:w="100" w:type="dxa"/>
            <w:vAlign w:val="bottom"/>
          </w:tcPr>
          <w:p>
            <w:pPr>
              <w:spacing w:after="0"/>
              <w:rPr>
                <w:sz w:val="22"/>
                <w:szCs w:val="22"/>
                <w:color w:val="auto"/>
              </w:rPr>
            </w:pPr>
          </w:p>
        </w:tc>
        <w:tc>
          <w:tcPr>
            <w:tcW w:w="3480" w:type="dxa"/>
            <w:vAlign w:val="bottom"/>
            <w:gridSpan w:val="2"/>
          </w:tcPr>
          <w:p>
            <w:pPr>
              <w:ind w:left="1220"/>
              <w:spacing w:after="0"/>
              <w:rPr>
                <w:sz w:val="20"/>
                <w:szCs w:val="20"/>
                <w:color w:val="auto"/>
              </w:rPr>
            </w:pPr>
            <w:r>
              <w:rPr>
                <w:rFonts w:ascii="Trebuchet MS" w:cs="Trebuchet MS" w:eastAsia="Trebuchet MS" w:hAnsi="Trebuchet MS"/>
                <w:sz w:val="16"/>
                <w:szCs w:val="16"/>
                <w:color w:val="F3F3F2"/>
              </w:rPr>
              <w:t>Weeks 0, 4, 12, 20</w:t>
            </w:r>
          </w:p>
        </w:tc>
        <w:tc>
          <w:tcPr>
            <w:tcW w:w="0" w:type="dxa"/>
            <w:vAlign w:val="bottom"/>
          </w:tcPr>
          <w:p>
            <w:pPr>
              <w:spacing w:after="0"/>
              <w:rPr>
                <w:sz w:val="1"/>
                <w:szCs w:val="1"/>
                <w:color w:val="auto"/>
              </w:rPr>
            </w:pPr>
          </w:p>
        </w:tc>
      </w:tr>
      <w:tr>
        <w:trPr>
          <w:trHeight w:val="247"/>
        </w:trPr>
        <w:tc>
          <w:tcPr>
            <w:tcW w:w="1600" w:type="dxa"/>
            <w:vAlign w:val="bottom"/>
          </w:tcPr>
          <w:p>
            <w:pPr>
              <w:spacing w:after="0"/>
              <w:rPr>
                <w:sz w:val="21"/>
                <w:szCs w:val="21"/>
                <w:color w:val="auto"/>
              </w:rPr>
            </w:pPr>
          </w:p>
        </w:tc>
        <w:tc>
          <w:tcPr>
            <w:tcW w:w="1020" w:type="dxa"/>
            <w:vAlign w:val="bottom"/>
          </w:tcPr>
          <w:p>
            <w:pPr>
              <w:jc w:val="center"/>
              <w:ind w:right="80"/>
              <w:spacing w:after="0"/>
              <w:rPr>
                <w:sz w:val="20"/>
                <w:szCs w:val="20"/>
                <w:color w:val="auto"/>
              </w:rPr>
            </w:pPr>
            <w:r>
              <w:rPr>
                <w:rFonts w:ascii="Trebuchet MS" w:cs="Trebuchet MS" w:eastAsia="Trebuchet MS" w:hAnsi="Trebuchet MS"/>
                <w:sz w:val="16"/>
                <w:szCs w:val="16"/>
                <w:color w:val="00001E"/>
                <w:w w:val="99"/>
              </w:rPr>
              <w:t>C3</w:t>
            </w:r>
          </w:p>
        </w:tc>
        <w:tc>
          <w:tcPr>
            <w:tcW w:w="2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Trebuchet MS" w:cs="Trebuchet MS" w:eastAsia="Trebuchet MS" w:hAnsi="Trebuchet MS"/>
                <w:sz w:val="16"/>
                <w:szCs w:val="16"/>
                <w:color w:val="00001E"/>
                <w:w w:val="95"/>
              </w:rPr>
              <w:t>n=8 (3:1)</w:t>
            </w:r>
          </w:p>
        </w:tc>
        <w:tc>
          <w:tcPr>
            <w:tcW w:w="20" w:type="dxa"/>
            <w:vAlign w:val="bottom"/>
          </w:tcPr>
          <w:p>
            <w:pPr>
              <w:spacing w:after="0"/>
              <w:rPr>
                <w:sz w:val="21"/>
                <w:szCs w:val="21"/>
                <w:color w:val="auto"/>
              </w:rPr>
            </w:pPr>
          </w:p>
        </w:tc>
        <w:tc>
          <w:tcPr>
            <w:tcW w:w="1320" w:type="dxa"/>
            <w:vAlign w:val="bottom"/>
          </w:tcPr>
          <w:p>
            <w:pPr>
              <w:jc w:val="center"/>
              <w:ind w:right="40"/>
              <w:spacing w:after="0"/>
              <w:rPr>
                <w:sz w:val="20"/>
                <w:szCs w:val="20"/>
                <w:color w:val="auto"/>
              </w:rPr>
            </w:pPr>
            <w:r>
              <w:rPr>
                <w:rFonts w:ascii="Trebuchet MS" w:cs="Trebuchet MS" w:eastAsia="Trebuchet MS" w:hAnsi="Trebuchet MS"/>
                <w:sz w:val="16"/>
                <w:szCs w:val="16"/>
                <w:color w:val="00001E"/>
                <w:w w:val="94"/>
              </w:rPr>
              <w:t>80mg</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20" w:type="dxa"/>
            <w:vAlign w:val="bottom"/>
          </w:tcPr>
          <w:p>
            <w:pPr>
              <w:jc w:val="center"/>
              <w:ind w:right="1420"/>
              <w:spacing w:after="0"/>
              <w:rPr>
                <w:sz w:val="20"/>
                <w:szCs w:val="20"/>
                <w:color w:val="auto"/>
              </w:rPr>
            </w:pPr>
            <w:r>
              <w:rPr>
                <w:rFonts w:ascii="Trebuchet MS" w:cs="Trebuchet MS" w:eastAsia="Trebuchet MS" w:hAnsi="Trebuchet MS"/>
                <w:sz w:val="16"/>
                <w:szCs w:val="16"/>
                <w:color w:val="F3F3F2"/>
                <w:w w:val="97"/>
              </w:rPr>
              <w:t>Q8W</w:t>
            </w:r>
          </w:p>
        </w:tc>
        <w:tc>
          <w:tcPr>
            <w:tcW w:w="0" w:type="dxa"/>
            <w:vAlign w:val="bottom"/>
          </w:tcPr>
          <w:p>
            <w:pPr>
              <w:spacing w:after="0"/>
              <w:rPr>
                <w:sz w:val="1"/>
                <w:szCs w:val="1"/>
                <w:color w:val="auto"/>
              </w:rPr>
            </w:pPr>
          </w:p>
        </w:tc>
      </w:tr>
      <w:tr>
        <w:trPr>
          <w:trHeight w:val="269"/>
        </w:trPr>
        <w:tc>
          <w:tcPr>
            <w:tcW w:w="1600" w:type="dxa"/>
            <w:vAlign w:val="bottom"/>
          </w:tcPr>
          <w:p>
            <w:pPr>
              <w:spacing w:after="0"/>
              <w:rPr>
                <w:sz w:val="23"/>
                <w:szCs w:val="23"/>
                <w:color w:val="auto"/>
              </w:rPr>
            </w:pPr>
          </w:p>
        </w:tc>
        <w:tc>
          <w:tcPr>
            <w:tcW w:w="1020" w:type="dxa"/>
            <w:vAlign w:val="bottom"/>
          </w:tcPr>
          <w:p>
            <w:pPr>
              <w:jc w:val="center"/>
              <w:ind w:right="80"/>
              <w:spacing w:after="0"/>
              <w:rPr>
                <w:sz w:val="20"/>
                <w:szCs w:val="20"/>
                <w:color w:val="auto"/>
              </w:rPr>
            </w:pPr>
            <w:r>
              <w:rPr>
                <w:rFonts w:ascii="Trebuchet MS" w:cs="Trebuchet MS" w:eastAsia="Trebuchet MS" w:hAnsi="Trebuchet MS"/>
                <w:sz w:val="16"/>
                <w:szCs w:val="16"/>
                <w:color w:val="00001E"/>
                <w:w w:val="98"/>
              </w:rPr>
              <w:t>C4a</w:t>
            </w:r>
          </w:p>
        </w:tc>
        <w:tc>
          <w:tcPr>
            <w:tcW w:w="2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rebuchet MS" w:cs="Trebuchet MS" w:eastAsia="Trebuchet MS" w:hAnsi="Trebuchet MS"/>
                <w:sz w:val="16"/>
                <w:szCs w:val="16"/>
                <w:color w:val="00001E"/>
                <w:w w:val="95"/>
              </w:rPr>
              <w:t>n=6 (2:1)</w:t>
            </w:r>
          </w:p>
        </w:tc>
        <w:tc>
          <w:tcPr>
            <w:tcW w:w="20" w:type="dxa"/>
            <w:vAlign w:val="bottom"/>
          </w:tcPr>
          <w:p>
            <w:pPr>
              <w:spacing w:after="0"/>
              <w:rPr>
                <w:sz w:val="23"/>
                <w:szCs w:val="23"/>
                <w:color w:val="auto"/>
              </w:rPr>
            </w:pPr>
          </w:p>
        </w:tc>
        <w:tc>
          <w:tcPr>
            <w:tcW w:w="1320" w:type="dxa"/>
            <w:vAlign w:val="bottom"/>
            <w:vMerge w:val="restart"/>
          </w:tcPr>
          <w:p>
            <w:pPr>
              <w:jc w:val="center"/>
              <w:ind w:right="40"/>
              <w:spacing w:after="0"/>
              <w:rPr>
                <w:sz w:val="20"/>
                <w:szCs w:val="20"/>
                <w:color w:val="auto"/>
              </w:rPr>
            </w:pPr>
            <w:r>
              <w:rPr>
                <w:rFonts w:ascii="Trebuchet MS" w:cs="Trebuchet MS" w:eastAsia="Trebuchet MS" w:hAnsi="Trebuchet MS"/>
                <w:sz w:val="16"/>
                <w:szCs w:val="16"/>
                <w:color w:val="00001E"/>
                <w:w w:val="94"/>
              </w:rPr>
              <w:t>120mg</w:t>
            </w: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820" w:type="dxa"/>
            <w:vAlign w:val="bottom"/>
          </w:tcPr>
          <w:p>
            <w:pPr>
              <w:jc w:val="center"/>
              <w:ind w:right="1420"/>
              <w:spacing w:after="0"/>
              <w:rPr>
                <w:sz w:val="20"/>
                <w:szCs w:val="20"/>
                <w:color w:val="auto"/>
              </w:rPr>
            </w:pPr>
            <w:r>
              <w:rPr>
                <w:rFonts w:ascii="Trebuchet MS" w:cs="Trebuchet MS" w:eastAsia="Trebuchet MS" w:hAnsi="Trebuchet MS"/>
                <w:sz w:val="16"/>
                <w:szCs w:val="16"/>
                <w:color w:val="F3F3F2"/>
                <w:w w:val="97"/>
              </w:rPr>
              <w:t>Q8W</w:t>
            </w: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1020" w:type="dxa"/>
            <w:vAlign w:val="bottom"/>
            <w:vMerge w:val="restart"/>
          </w:tcPr>
          <w:p>
            <w:pPr>
              <w:jc w:val="center"/>
              <w:ind w:right="80"/>
              <w:spacing w:after="0"/>
              <w:rPr>
                <w:sz w:val="20"/>
                <w:szCs w:val="20"/>
                <w:color w:val="auto"/>
              </w:rPr>
            </w:pPr>
            <w:r>
              <w:rPr>
                <w:rFonts w:ascii="Trebuchet MS" w:cs="Trebuchet MS" w:eastAsia="Trebuchet MS" w:hAnsi="Trebuchet MS"/>
                <w:sz w:val="16"/>
                <w:szCs w:val="16"/>
                <w:color w:val="00001E"/>
                <w:w w:val="96"/>
              </w:rPr>
              <w:t>C4b</w:t>
            </w:r>
          </w:p>
        </w:tc>
        <w:tc>
          <w:tcPr>
            <w:tcW w:w="20" w:type="dxa"/>
            <w:vAlign w:val="bottom"/>
          </w:tcPr>
          <w:p>
            <w:pPr>
              <w:spacing w:after="0"/>
              <w:rPr>
                <w:sz w:val="10"/>
                <w:szCs w:val="10"/>
                <w:color w:val="auto"/>
              </w:rPr>
            </w:pPr>
          </w:p>
        </w:tc>
        <w:tc>
          <w:tcPr>
            <w:tcW w:w="1220" w:type="dxa"/>
            <w:vAlign w:val="bottom"/>
            <w:gridSpan w:val="2"/>
            <w:vMerge w:val="restart"/>
          </w:tcPr>
          <w:p>
            <w:pPr>
              <w:jc w:val="center"/>
              <w:spacing w:after="0"/>
              <w:rPr>
                <w:sz w:val="20"/>
                <w:szCs w:val="20"/>
                <w:color w:val="auto"/>
              </w:rPr>
            </w:pPr>
            <w:r>
              <w:rPr>
                <w:rFonts w:ascii="Trebuchet MS" w:cs="Trebuchet MS" w:eastAsia="Trebuchet MS" w:hAnsi="Trebuchet MS"/>
                <w:sz w:val="16"/>
                <w:szCs w:val="16"/>
                <w:color w:val="00001E"/>
                <w:w w:val="95"/>
              </w:rPr>
              <w:t>n=6 (2:1)</w:t>
            </w:r>
          </w:p>
        </w:tc>
        <w:tc>
          <w:tcPr>
            <w:tcW w:w="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480" w:type="dxa"/>
            <w:vAlign w:val="bottom"/>
            <w:gridSpan w:val="2"/>
            <w:vMerge w:val="restart"/>
          </w:tcPr>
          <w:p>
            <w:pPr>
              <w:jc w:val="center"/>
              <w:ind w:left="59"/>
              <w:spacing w:after="0"/>
              <w:rPr>
                <w:sz w:val="20"/>
                <w:szCs w:val="20"/>
                <w:color w:val="auto"/>
              </w:rPr>
            </w:pPr>
            <w:r>
              <w:rPr>
                <w:rFonts w:ascii="Trebuchet MS" w:cs="Trebuchet MS" w:eastAsia="Trebuchet MS" w:hAnsi="Trebuchet MS"/>
                <w:sz w:val="16"/>
                <w:szCs w:val="16"/>
                <w:color w:val="F3F3F2"/>
                <w:w w:val="92"/>
              </w:rPr>
              <w:t>Q12W</w:t>
            </w:r>
          </w:p>
        </w:tc>
        <w:tc>
          <w:tcPr>
            <w:tcW w:w="0" w:type="dxa"/>
            <w:vAlign w:val="bottom"/>
          </w:tcPr>
          <w:p>
            <w:pPr>
              <w:spacing w:after="0"/>
              <w:rPr>
                <w:sz w:val="1"/>
                <w:szCs w:val="1"/>
                <w:color w:val="auto"/>
              </w:rPr>
            </w:pPr>
          </w:p>
        </w:tc>
      </w:tr>
      <w:tr>
        <w:trPr>
          <w:trHeight w:val="81"/>
        </w:trPr>
        <w:tc>
          <w:tcPr>
            <w:tcW w:w="16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1600" w:type="dxa"/>
            <w:vAlign w:val="bottom"/>
          </w:tcPr>
          <w:p>
            <w:pPr>
              <w:spacing w:after="0"/>
              <w:rPr>
                <w:sz w:val="24"/>
                <w:szCs w:val="24"/>
                <w:color w:val="auto"/>
              </w:rPr>
            </w:pPr>
          </w:p>
        </w:tc>
        <w:tc>
          <w:tcPr>
            <w:tcW w:w="1020" w:type="dxa"/>
            <w:vAlign w:val="bottom"/>
          </w:tcPr>
          <w:p>
            <w:pPr>
              <w:jc w:val="center"/>
              <w:ind w:right="80"/>
              <w:spacing w:after="0"/>
              <w:rPr>
                <w:sz w:val="20"/>
                <w:szCs w:val="20"/>
                <w:color w:val="auto"/>
              </w:rPr>
            </w:pPr>
            <w:r>
              <w:rPr>
                <w:rFonts w:ascii="Trebuchet MS" w:cs="Trebuchet MS" w:eastAsia="Trebuchet MS" w:hAnsi="Trebuchet MS"/>
                <w:sz w:val="16"/>
                <w:szCs w:val="16"/>
                <w:color w:val="00001E"/>
                <w:w w:val="96"/>
              </w:rPr>
              <w:t>C5b</w:t>
            </w:r>
          </w:p>
        </w:tc>
        <w:tc>
          <w:tcPr>
            <w:tcW w:w="2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rebuchet MS" w:cs="Trebuchet MS" w:eastAsia="Trebuchet MS" w:hAnsi="Trebuchet MS"/>
                <w:sz w:val="16"/>
                <w:szCs w:val="16"/>
                <w:color w:val="00001E"/>
                <w:w w:val="95"/>
              </w:rPr>
              <w:t>n=10 (3:1)</w:t>
            </w:r>
          </w:p>
        </w:tc>
        <w:tc>
          <w:tcPr>
            <w:tcW w:w="20" w:type="dxa"/>
            <w:vAlign w:val="bottom"/>
          </w:tcPr>
          <w:p>
            <w:pPr>
              <w:spacing w:after="0"/>
              <w:rPr>
                <w:sz w:val="24"/>
                <w:szCs w:val="24"/>
                <w:color w:val="auto"/>
              </w:rPr>
            </w:pPr>
          </w:p>
        </w:tc>
        <w:tc>
          <w:tcPr>
            <w:tcW w:w="1320" w:type="dxa"/>
            <w:vAlign w:val="bottom"/>
            <w:vMerge w:val="restart"/>
          </w:tcPr>
          <w:p>
            <w:pPr>
              <w:jc w:val="center"/>
              <w:ind w:right="40"/>
              <w:spacing w:after="0"/>
              <w:rPr>
                <w:sz w:val="20"/>
                <w:szCs w:val="20"/>
                <w:color w:val="auto"/>
              </w:rPr>
            </w:pPr>
            <w:r>
              <w:rPr>
                <w:rFonts w:ascii="Trebuchet MS" w:cs="Trebuchet MS" w:eastAsia="Trebuchet MS" w:hAnsi="Trebuchet MS"/>
                <w:sz w:val="16"/>
                <w:szCs w:val="16"/>
                <w:color w:val="00001E"/>
                <w:w w:val="94"/>
              </w:rPr>
              <w:t>180mg</w:t>
            </w: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20" w:type="dxa"/>
            <w:vAlign w:val="bottom"/>
          </w:tcPr>
          <w:p>
            <w:pPr>
              <w:jc w:val="center"/>
              <w:ind w:right="1420"/>
              <w:spacing w:after="0"/>
              <w:rPr>
                <w:sz w:val="20"/>
                <w:szCs w:val="20"/>
                <w:color w:val="auto"/>
              </w:rPr>
            </w:pPr>
            <w:r>
              <w:rPr>
                <w:rFonts w:ascii="Trebuchet MS" w:cs="Trebuchet MS" w:eastAsia="Trebuchet MS" w:hAnsi="Trebuchet MS"/>
                <w:sz w:val="16"/>
                <w:szCs w:val="16"/>
                <w:color w:val="F3F3F2"/>
                <w:w w:val="97"/>
              </w:rPr>
              <w:t>Q8W</w:t>
            </w:r>
          </w:p>
        </w:tc>
        <w:tc>
          <w:tcPr>
            <w:tcW w:w="0" w:type="dxa"/>
            <w:vAlign w:val="bottom"/>
          </w:tcPr>
          <w:p>
            <w:pPr>
              <w:spacing w:after="0"/>
              <w:rPr>
                <w:sz w:val="1"/>
                <w:szCs w:val="1"/>
                <w:color w:val="auto"/>
              </w:rPr>
            </w:pPr>
          </w:p>
        </w:tc>
      </w:tr>
      <w:tr>
        <w:trPr>
          <w:trHeight w:val="99"/>
        </w:trPr>
        <w:tc>
          <w:tcPr>
            <w:tcW w:w="1600" w:type="dxa"/>
            <w:vAlign w:val="bottom"/>
            <w:vMerge w:val="restart"/>
          </w:tcPr>
          <w:p>
            <w:pPr>
              <w:ind w:left="240"/>
              <w:spacing w:after="0"/>
              <w:rPr>
                <w:sz w:val="20"/>
                <w:szCs w:val="20"/>
                <w:color w:val="auto"/>
              </w:rPr>
            </w:pPr>
            <w:r>
              <w:rPr>
                <w:rFonts w:ascii="Trebuchet MS" w:cs="Trebuchet MS" w:eastAsia="Trebuchet MS" w:hAnsi="Trebuchet MS"/>
                <w:sz w:val="16"/>
                <w:szCs w:val="16"/>
                <w:b w:val="1"/>
                <w:bCs w:val="1"/>
                <w:color w:val="00001E"/>
              </w:rPr>
              <w:t>Double-Blind</w:t>
            </w:r>
          </w:p>
        </w:tc>
        <w:tc>
          <w:tcPr>
            <w:tcW w:w="1020" w:type="dxa"/>
            <w:vAlign w:val="bottom"/>
            <w:vMerge w:val="restart"/>
          </w:tcPr>
          <w:p>
            <w:pPr>
              <w:jc w:val="center"/>
              <w:ind w:right="80"/>
              <w:spacing w:after="0"/>
              <w:rPr>
                <w:sz w:val="20"/>
                <w:szCs w:val="20"/>
                <w:color w:val="auto"/>
              </w:rPr>
            </w:pPr>
            <w:r>
              <w:rPr>
                <w:rFonts w:ascii="Trebuchet MS" w:cs="Trebuchet MS" w:eastAsia="Trebuchet MS" w:hAnsi="Trebuchet MS"/>
                <w:sz w:val="16"/>
                <w:szCs w:val="16"/>
                <w:color w:val="00001E"/>
                <w:w w:val="98"/>
              </w:rPr>
              <w:t>C5a</w:t>
            </w:r>
          </w:p>
        </w:tc>
        <w:tc>
          <w:tcPr>
            <w:tcW w:w="20" w:type="dxa"/>
            <w:vAlign w:val="bottom"/>
          </w:tcPr>
          <w:p>
            <w:pPr>
              <w:spacing w:after="0"/>
              <w:rPr>
                <w:sz w:val="8"/>
                <w:szCs w:val="8"/>
                <w:color w:val="auto"/>
              </w:rPr>
            </w:pPr>
          </w:p>
        </w:tc>
        <w:tc>
          <w:tcPr>
            <w:tcW w:w="1220" w:type="dxa"/>
            <w:vAlign w:val="bottom"/>
            <w:gridSpan w:val="2"/>
            <w:vMerge w:val="restart"/>
          </w:tcPr>
          <w:p>
            <w:pPr>
              <w:jc w:val="center"/>
              <w:spacing w:after="0"/>
              <w:rPr>
                <w:sz w:val="20"/>
                <w:szCs w:val="20"/>
                <w:color w:val="auto"/>
              </w:rPr>
            </w:pPr>
            <w:r>
              <w:rPr>
                <w:rFonts w:ascii="Trebuchet MS" w:cs="Trebuchet MS" w:eastAsia="Trebuchet MS" w:hAnsi="Trebuchet MS"/>
                <w:sz w:val="16"/>
                <w:szCs w:val="16"/>
                <w:color w:val="00001E"/>
                <w:w w:val="95"/>
              </w:rPr>
              <w:t>n=9 (3:1)</w:t>
            </w:r>
          </w:p>
        </w:tc>
        <w:tc>
          <w:tcPr>
            <w:tcW w:w="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2"/>
            <w:vMerge w:val="restart"/>
          </w:tcPr>
          <w:p>
            <w:pPr>
              <w:jc w:val="center"/>
              <w:ind w:left="59"/>
              <w:spacing w:after="0"/>
              <w:rPr>
                <w:sz w:val="20"/>
                <w:szCs w:val="20"/>
                <w:color w:val="auto"/>
              </w:rPr>
            </w:pPr>
            <w:r>
              <w:rPr>
                <w:rFonts w:ascii="Trebuchet MS" w:cs="Trebuchet MS" w:eastAsia="Trebuchet MS" w:hAnsi="Trebuchet MS"/>
                <w:sz w:val="16"/>
                <w:szCs w:val="16"/>
                <w:color w:val="F3F3F2"/>
                <w:w w:val="92"/>
              </w:rPr>
              <w:t>Q12W</w:t>
            </w:r>
          </w:p>
        </w:tc>
        <w:tc>
          <w:tcPr>
            <w:tcW w:w="0" w:type="dxa"/>
            <w:vAlign w:val="bottom"/>
          </w:tcPr>
          <w:p>
            <w:pPr>
              <w:spacing w:after="0"/>
              <w:rPr>
                <w:sz w:val="1"/>
                <w:szCs w:val="1"/>
                <w:color w:val="auto"/>
              </w:rPr>
            </w:pPr>
          </w:p>
        </w:tc>
      </w:tr>
      <w:tr>
        <w:trPr>
          <w:trHeight w:val="122"/>
        </w:trPr>
        <w:tc>
          <w:tcPr>
            <w:tcW w:w="16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600" w:type="dxa"/>
            <w:vAlign w:val="bottom"/>
          </w:tcPr>
          <w:p>
            <w:pPr>
              <w:ind w:left="20"/>
              <w:spacing w:after="0"/>
              <w:rPr>
                <w:sz w:val="20"/>
                <w:szCs w:val="20"/>
                <w:color w:val="auto"/>
              </w:rPr>
            </w:pPr>
            <w:r>
              <w:rPr>
                <w:rFonts w:ascii="Trebuchet MS" w:cs="Trebuchet MS" w:eastAsia="Trebuchet MS" w:hAnsi="Trebuchet MS"/>
                <w:sz w:val="16"/>
                <w:szCs w:val="16"/>
                <w:b w:val="1"/>
                <w:bCs w:val="1"/>
                <w:color w:val="00001E"/>
              </w:rPr>
              <w:t>Placebo-Controlled</w:t>
            </w:r>
          </w:p>
        </w:tc>
        <w:tc>
          <w:tcPr>
            <w:tcW w:w="1020" w:type="dxa"/>
            <w:vAlign w:val="bottom"/>
          </w:tcPr>
          <w:p>
            <w:pPr>
              <w:jc w:val="center"/>
              <w:ind w:right="80"/>
              <w:spacing w:after="0"/>
              <w:rPr>
                <w:sz w:val="20"/>
                <w:szCs w:val="20"/>
                <w:color w:val="auto"/>
              </w:rPr>
            </w:pPr>
            <w:r>
              <w:rPr>
                <w:rFonts w:ascii="Trebuchet MS" w:cs="Trebuchet MS" w:eastAsia="Trebuchet MS" w:hAnsi="Trebuchet MS"/>
                <w:sz w:val="16"/>
                <w:szCs w:val="16"/>
                <w:color w:val="00001E"/>
                <w:w w:val="99"/>
              </w:rPr>
              <w:t>C6</w:t>
            </w:r>
          </w:p>
        </w:tc>
        <w:tc>
          <w:tcPr>
            <w:tcW w:w="2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Trebuchet MS" w:cs="Trebuchet MS" w:eastAsia="Trebuchet MS" w:hAnsi="Trebuchet MS"/>
                <w:sz w:val="16"/>
                <w:szCs w:val="16"/>
                <w:color w:val="00001E"/>
                <w:w w:val="95"/>
              </w:rPr>
              <w:t>n=8 (3:1)</w:t>
            </w:r>
          </w:p>
        </w:tc>
        <w:tc>
          <w:tcPr>
            <w:tcW w:w="20" w:type="dxa"/>
            <w:vAlign w:val="bottom"/>
          </w:tcPr>
          <w:p>
            <w:pPr>
              <w:spacing w:after="0"/>
              <w:rPr>
                <w:sz w:val="16"/>
                <w:szCs w:val="16"/>
                <w:color w:val="auto"/>
              </w:rPr>
            </w:pPr>
          </w:p>
        </w:tc>
        <w:tc>
          <w:tcPr>
            <w:tcW w:w="1320" w:type="dxa"/>
            <w:vAlign w:val="bottom"/>
          </w:tcPr>
          <w:p>
            <w:pPr>
              <w:jc w:val="center"/>
              <w:ind w:right="40"/>
              <w:spacing w:after="0"/>
              <w:rPr>
                <w:sz w:val="20"/>
                <w:szCs w:val="20"/>
                <w:color w:val="auto"/>
              </w:rPr>
            </w:pPr>
            <w:r>
              <w:rPr>
                <w:rFonts w:ascii="Trebuchet MS" w:cs="Trebuchet MS" w:eastAsia="Trebuchet MS" w:hAnsi="Trebuchet MS"/>
                <w:sz w:val="16"/>
                <w:szCs w:val="16"/>
                <w:color w:val="00001E"/>
                <w:w w:val="94"/>
              </w:rPr>
              <w:t>240mg</w:t>
            </w:r>
          </w:p>
        </w:tc>
        <w:tc>
          <w:tcPr>
            <w:tcW w:w="100" w:type="dxa"/>
            <w:vAlign w:val="bottom"/>
          </w:tcPr>
          <w:p>
            <w:pPr>
              <w:spacing w:after="0"/>
              <w:rPr>
                <w:sz w:val="16"/>
                <w:szCs w:val="16"/>
                <w:color w:val="auto"/>
              </w:rPr>
            </w:pPr>
          </w:p>
        </w:tc>
        <w:tc>
          <w:tcPr>
            <w:tcW w:w="3480" w:type="dxa"/>
            <w:vAlign w:val="bottom"/>
            <w:gridSpan w:val="2"/>
          </w:tcPr>
          <w:p>
            <w:pPr>
              <w:ind w:left="1440"/>
              <w:spacing w:after="0"/>
              <w:rPr>
                <w:sz w:val="20"/>
                <w:szCs w:val="20"/>
                <w:color w:val="auto"/>
              </w:rPr>
            </w:pPr>
            <w:r>
              <w:rPr>
                <w:rFonts w:ascii="Trebuchet MS" w:cs="Trebuchet MS" w:eastAsia="Trebuchet MS" w:hAnsi="Trebuchet MS"/>
                <w:sz w:val="16"/>
                <w:szCs w:val="16"/>
                <w:color w:val="F3F3F2"/>
              </w:rPr>
              <w:t>Single Dose</w:t>
            </w:r>
          </w:p>
        </w:tc>
        <w:tc>
          <w:tcPr>
            <w:tcW w:w="0" w:type="dxa"/>
            <w:vAlign w:val="bottom"/>
          </w:tcPr>
          <w:p>
            <w:pPr>
              <w:spacing w:after="0"/>
              <w:rPr>
                <w:sz w:val="1"/>
                <w:szCs w:val="1"/>
                <w:color w:val="auto"/>
              </w:rPr>
            </w:pPr>
          </w:p>
        </w:tc>
      </w:tr>
      <w:tr>
        <w:trPr>
          <w:trHeight w:val="197"/>
        </w:trPr>
        <w:tc>
          <w:tcPr>
            <w:tcW w:w="1600" w:type="dxa"/>
            <w:vAlign w:val="bottom"/>
          </w:tcPr>
          <w:p>
            <w:pPr>
              <w:ind w:left="440"/>
              <w:spacing w:after="0"/>
              <w:rPr>
                <w:sz w:val="20"/>
                <w:szCs w:val="20"/>
                <w:color w:val="auto"/>
              </w:rPr>
            </w:pPr>
            <w:r>
              <w:rPr>
                <w:rFonts w:ascii="Trebuchet MS" w:cs="Trebuchet MS" w:eastAsia="Trebuchet MS" w:hAnsi="Trebuchet MS"/>
                <w:sz w:val="16"/>
                <w:szCs w:val="16"/>
                <w:b w:val="1"/>
                <w:bCs w:val="1"/>
                <w:color w:val="00001E"/>
              </w:rPr>
              <w:t>(n=81)</w:t>
            </w:r>
          </w:p>
        </w:tc>
        <w:tc>
          <w:tcPr>
            <w:tcW w:w="1020" w:type="dxa"/>
            <w:vAlign w:val="bottom"/>
            <w:vMerge w:val="restart"/>
          </w:tcPr>
          <w:p>
            <w:pPr>
              <w:jc w:val="center"/>
              <w:ind w:right="80"/>
              <w:spacing w:after="0"/>
              <w:rPr>
                <w:sz w:val="20"/>
                <w:szCs w:val="20"/>
                <w:color w:val="auto"/>
              </w:rPr>
            </w:pPr>
            <w:r>
              <w:rPr>
                <w:rFonts w:ascii="Trebuchet MS" w:cs="Trebuchet MS" w:eastAsia="Trebuchet MS" w:hAnsi="Trebuchet MS"/>
                <w:sz w:val="16"/>
                <w:szCs w:val="16"/>
                <w:color w:val="00001E"/>
                <w:w w:val="99"/>
              </w:rPr>
              <w:t>C7</w:t>
            </w:r>
          </w:p>
        </w:tc>
        <w:tc>
          <w:tcPr>
            <w:tcW w:w="20" w:type="dxa"/>
            <w:vAlign w:val="bottom"/>
          </w:tcPr>
          <w:p>
            <w:pPr>
              <w:spacing w:after="0"/>
              <w:rPr>
                <w:sz w:val="17"/>
                <w:szCs w:val="17"/>
                <w:color w:val="auto"/>
              </w:rPr>
            </w:pPr>
          </w:p>
        </w:tc>
        <w:tc>
          <w:tcPr>
            <w:tcW w:w="1220" w:type="dxa"/>
            <w:vAlign w:val="bottom"/>
            <w:gridSpan w:val="2"/>
            <w:vMerge w:val="restart"/>
          </w:tcPr>
          <w:p>
            <w:pPr>
              <w:jc w:val="center"/>
              <w:spacing w:after="0"/>
              <w:rPr>
                <w:sz w:val="20"/>
                <w:szCs w:val="20"/>
                <w:color w:val="auto"/>
              </w:rPr>
            </w:pPr>
            <w:r>
              <w:rPr>
                <w:rFonts w:ascii="Trebuchet MS" w:cs="Trebuchet MS" w:eastAsia="Trebuchet MS" w:hAnsi="Trebuchet MS"/>
                <w:sz w:val="16"/>
                <w:szCs w:val="16"/>
                <w:color w:val="00001E"/>
                <w:w w:val="95"/>
              </w:rPr>
              <w:t>n=6 (3:1)</w:t>
            </w:r>
          </w:p>
        </w:tc>
        <w:tc>
          <w:tcPr>
            <w:tcW w:w="20" w:type="dxa"/>
            <w:vAlign w:val="bottom"/>
          </w:tcPr>
          <w:p>
            <w:pPr>
              <w:spacing w:after="0"/>
              <w:rPr>
                <w:sz w:val="17"/>
                <w:szCs w:val="17"/>
                <w:color w:val="auto"/>
              </w:rPr>
            </w:pPr>
          </w:p>
        </w:tc>
        <w:tc>
          <w:tcPr>
            <w:tcW w:w="1320" w:type="dxa"/>
            <w:vAlign w:val="bottom"/>
            <w:vMerge w:val="restart"/>
          </w:tcPr>
          <w:p>
            <w:pPr>
              <w:jc w:val="center"/>
              <w:ind w:right="40"/>
              <w:spacing w:after="0"/>
              <w:rPr>
                <w:sz w:val="20"/>
                <w:szCs w:val="20"/>
                <w:color w:val="auto"/>
              </w:rPr>
            </w:pPr>
            <w:r>
              <w:rPr>
                <w:rFonts w:ascii="Trebuchet MS" w:cs="Trebuchet MS" w:eastAsia="Trebuchet MS" w:hAnsi="Trebuchet MS"/>
                <w:sz w:val="16"/>
                <w:szCs w:val="16"/>
                <w:color w:val="00001E"/>
                <w:w w:val="94"/>
              </w:rPr>
              <w:t>360mg</w:t>
            </w:r>
          </w:p>
        </w:tc>
        <w:tc>
          <w:tcPr>
            <w:tcW w:w="100" w:type="dxa"/>
            <w:vAlign w:val="bottom"/>
          </w:tcPr>
          <w:p>
            <w:pPr>
              <w:spacing w:after="0"/>
              <w:rPr>
                <w:sz w:val="17"/>
                <w:szCs w:val="17"/>
                <w:color w:val="auto"/>
              </w:rPr>
            </w:pPr>
          </w:p>
        </w:tc>
        <w:tc>
          <w:tcPr>
            <w:tcW w:w="3480" w:type="dxa"/>
            <w:vAlign w:val="bottom"/>
            <w:gridSpan w:val="2"/>
            <w:vMerge w:val="restart"/>
          </w:tcPr>
          <w:p>
            <w:pPr>
              <w:ind w:left="1440"/>
              <w:spacing w:after="0"/>
              <w:rPr>
                <w:sz w:val="20"/>
                <w:szCs w:val="20"/>
                <w:color w:val="auto"/>
              </w:rPr>
            </w:pPr>
            <w:r>
              <w:rPr>
                <w:rFonts w:ascii="Trebuchet MS" w:cs="Trebuchet MS" w:eastAsia="Trebuchet MS" w:hAnsi="Trebuchet MS"/>
                <w:sz w:val="16"/>
                <w:szCs w:val="16"/>
                <w:color w:val="F3F3F2"/>
              </w:rPr>
              <w:t>Single Dose</w:t>
            </w:r>
          </w:p>
        </w:tc>
        <w:tc>
          <w:tcPr>
            <w:tcW w:w="0" w:type="dxa"/>
            <w:vAlign w:val="bottom"/>
          </w:tcPr>
          <w:p>
            <w:pPr>
              <w:spacing w:after="0"/>
              <w:rPr>
                <w:sz w:val="1"/>
                <w:szCs w:val="1"/>
                <w:color w:val="auto"/>
              </w:rPr>
            </w:pPr>
          </w:p>
        </w:tc>
      </w:tr>
      <w:tr>
        <w:trPr>
          <w:trHeight w:val="78"/>
        </w:trPr>
        <w:tc>
          <w:tcPr>
            <w:tcW w:w="16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1"/>
                <w:szCs w:val="21"/>
                <w:color w:val="auto"/>
              </w:rPr>
            </w:pPr>
          </w:p>
        </w:tc>
        <w:tc>
          <w:tcPr>
            <w:tcW w:w="1020" w:type="dxa"/>
            <w:vAlign w:val="bottom"/>
          </w:tcPr>
          <w:p>
            <w:pPr>
              <w:jc w:val="center"/>
              <w:ind w:right="80"/>
              <w:spacing w:after="0"/>
              <w:rPr>
                <w:sz w:val="20"/>
                <w:szCs w:val="20"/>
                <w:color w:val="auto"/>
              </w:rPr>
            </w:pPr>
            <w:r>
              <w:rPr>
                <w:rFonts w:ascii="Trebuchet MS" w:cs="Trebuchet MS" w:eastAsia="Trebuchet MS" w:hAnsi="Trebuchet MS"/>
                <w:sz w:val="16"/>
                <w:szCs w:val="16"/>
                <w:color w:val="00001E"/>
                <w:w w:val="99"/>
              </w:rPr>
              <w:t>C8</w:t>
            </w:r>
          </w:p>
        </w:tc>
        <w:tc>
          <w:tcPr>
            <w:tcW w:w="20" w:type="dxa"/>
            <w:vAlign w:val="bottom"/>
          </w:tcPr>
          <w:p>
            <w:pPr>
              <w:spacing w:after="0"/>
              <w:rPr>
                <w:sz w:val="21"/>
                <w:szCs w:val="21"/>
                <w:color w:val="auto"/>
              </w:rPr>
            </w:pPr>
          </w:p>
        </w:tc>
        <w:tc>
          <w:tcPr>
            <w:tcW w:w="1220" w:type="dxa"/>
            <w:vAlign w:val="bottom"/>
            <w:gridSpan w:val="2"/>
          </w:tcPr>
          <w:p>
            <w:pPr>
              <w:jc w:val="center"/>
              <w:spacing w:after="0"/>
              <w:rPr>
                <w:sz w:val="20"/>
                <w:szCs w:val="20"/>
                <w:color w:val="auto"/>
              </w:rPr>
            </w:pPr>
            <w:r>
              <w:rPr>
                <w:rFonts w:ascii="Trebuchet MS" w:cs="Trebuchet MS" w:eastAsia="Trebuchet MS" w:hAnsi="Trebuchet MS"/>
                <w:sz w:val="16"/>
                <w:szCs w:val="16"/>
                <w:color w:val="00001E"/>
                <w:w w:val="95"/>
              </w:rPr>
              <w:t>n=9 (3:1)</w:t>
            </w:r>
          </w:p>
        </w:tc>
        <w:tc>
          <w:tcPr>
            <w:tcW w:w="20" w:type="dxa"/>
            <w:vAlign w:val="bottom"/>
          </w:tcPr>
          <w:p>
            <w:pPr>
              <w:spacing w:after="0"/>
              <w:rPr>
                <w:sz w:val="21"/>
                <w:szCs w:val="21"/>
                <w:color w:val="auto"/>
              </w:rPr>
            </w:pPr>
          </w:p>
        </w:tc>
        <w:tc>
          <w:tcPr>
            <w:tcW w:w="1320" w:type="dxa"/>
            <w:vAlign w:val="bottom"/>
            <w:vMerge w:val="restart"/>
          </w:tcPr>
          <w:p>
            <w:pPr>
              <w:jc w:val="center"/>
              <w:ind w:right="40"/>
              <w:spacing w:after="0"/>
              <w:rPr>
                <w:sz w:val="20"/>
                <w:szCs w:val="20"/>
                <w:color w:val="auto"/>
              </w:rPr>
            </w:pPr>
            <w:r>
              <w:rPr>
                <w:rFonts w:ascii="Trebuchet MS" w:cs="Trebuchet MS" w:eastAsia="Trebuchet MS" w:hAnsi="Trebuchet MS"/>
                <w:sz w:val="16"/>
                <w:szCs w:val="16"/>
                <w:color w:val="00001E"/>
                <w:w w:val="94"/>
              </w:rPr>
              <w:t>240mg</w:t>
            </w: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20" w:type="dxa"/>
            <w:vAlign w:val="bottom"/>
          </w:tcPr>
          <w:p>
            <w:pPr>
              <w:jc w:val="center"/>
              <w:ind w:right="1420"/>
              <w:spacing w:after="0"/>
              <w:rPr>
                <w:sz w:val="20"/>
                <w:szCs w:val="20"/>
                <w:color w:val="auto"/>
              </w:rPr>
            </w:pPr>
            <w:r>
              <w:rPr>
                <w:rFonts w:ascii="Trebuchet MS" w:cs="Trebuchet MS" w:eastAsia="Trebuchet MS" w:hAnsi="Trebuchet MS"/>
                <w:sz w:val="16"/>
                <w:szCs w:val="16"/>
                <w:color w:val="F3F3F2"/>
                <w:w w:val="97"/>
              </w:rPr>
              <w:t>Q8W</w:t>
            </w:r>
          </w:p>
        </w:tc>
        <w:tc>
          <w:tcPr>
            <w:tcW w:w="0" w:type="dxa"/>
            <w:vAlign w:val="bottom"/>
          </w:tcPr>
          <w:p>
            <w:pPr>
              <w:spacing w:after="0"/>
              <w:rPr>
                <w:sz w:val="1"/>
                <w:szCs w:val="1"/>
                <w:color w:val="auto"/>
              </w:rPr>
            </w:pPr>
          </w:p>
        </w:tc>
      </w:tr>
      <w:tr>
        <w:trPr>
          <w:trHeight w:val="127"/>
        </w:trPr>
        <w:tc>
          <w:tcPr>
            <w:tcW w:w="1600" w:type="dxa"/>
            <w:vAlign w:val="bottom"/>
          </w:tcPr>
          <w:p>
            <w:pPr>
              <w:spacing w:after="0"/>
              <w:rPr>
                <w:sz w:val="11"/>
                <w:szCs w:val="11"/>
                <w:color w:val="auto"/>
              </w:rPr>
            </w:pPr>
          </w:p>
        </w:tc>
        <w:tc>
          <w:tcPr>
            <w:tcW w:w="1020" w:type="dxa"/>
            <w:vAlign w:val="bottom"/>
            <w:vMerge w:val="restart"/>
          </w:tcPr>
          <w:p>
            <w:pPr>
              <w:jc w:val="center"/>
              <w:ind w:right="80"/>
              <w:spacing w:after="0"/>
              <w:rPr>
                <w:sz w:val="20"/>
                <w:szCs w:val="20"/>
                <w:color w:val="auto"/>
              </w:rPr>
            </w:pPr>
            <w:r>
              <w:rPr>
                <w:rFonts w:ascii="Trebuchet MS" w:cs="Trebuchet MS" w:eastAsia="Trebuchet MS" w:hAnsi="Trebuchet MS"/>
                <w:sz w:val="16"/>
                <w:szCs w:val="16"/>
                <w:color w:val="00001E"/>
                <w:w w:val="92"/>
              </w:rPr>
              <w:t>C8.1</w:t>
            </w:r>
          </w:p>
        </w:tc>
        <w:tc>
          <w:tcPr>
            <w:tcW w:w="20" w:type="dxa"/>
            <w:vAlign w:val="bottom"/>
          </w:tcPr>
          <w:p>
            <w:pPr>
              <w:spacing w:after="0"/>
              <w:rPr>
                <w:sz w:val="11"/>
                <w:szCs w:val="11"/>
                <w:color w:val="auto"/>
              </w:rPr>
            </w:pPr>
          </w:p>
        </w:tc>
        <w:tc>
          <w:tcPr>
            <w:tcW w:w="1220" w:type="dxa"/>
            <w:vAlign w:val="bottom"/>
            <w:gridSpan w:val="2"/>
            <w:vMerge w:val="restart"/>
          </w:tcPr>
          <w:p>
            <w:pPr>
              <w:jc w:val="center"/>
              <w:spacing w:after="0"/>
              <w:rPr>
                <w:sz w:val="20"/>
                <w:szCs w:val="20"/>
                <w:color w:val="auto"/>
              </w:rPr>
            </w:pPr>
            <w:r>
              <w:rPr>
                <w:rFonts w:ascii="Trebuchet MS" w:cs="Trebuchet MS" w:eastAsia="Trebuchet MS" w:hAnsi="Trebuchet MS"/>
                <w:sz w:val="16"/>
                <w:szCs w:val="16"/>
                <w:color w:val="00001E"/>
                <w:w w:val="95"/>
              </w:rPr>
              <w:t>n=2 (3:1)</w:t>
            </w:r>
          </w:p>
        </w:tc>
        <w:tc>
          <w:tcPr>
            <w:tcW w:w="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20" w:type="dxa"/>
            <w:vAlign w:val="bottom"/>
            <w:vMerge w:val="restart"/>
          </w:tcPr>
          <w:p>
            <w:pPr>
              <w:jc w:val="center"/>
              <w:ind w:right="1420"/>
              <w:spacing w:after="0"/>
              <w:rPr>
                <w:sz w:val="20"/>
                <w:szCs w:val="20"/>
                <w:color w:val="auto"/>
              </w:rPr>
            </w:pPr>
            <w:r>
              <w:rPr>
                <w:rFonts w:ascii="Trebuchet MS" w:cs="Trebuchet MS" w:eastAsia="Trebuchet MS" w:hAnsi="Trebuchet MS"/>
                <w:sz w:val="16"/>
                <w:szCs w:val="16"/>
                <w:color w:val="F3F3F2"/>
                <w:w w:val="97"/>
              </w:rPr>
              <w:t>Q8W</w:t>
            </w:r>
          </w:p>
        </w:tc>
        <w:tc>
          <w:tcPr>
            <w:tcW w:w="0" w:type="dxa"/>
            <w:vAlign w:val="bottom"/>
          </w:tcPr>
          <w:p>
            <w:pPr>
              <w:spacing w:after="0"/>
              <w:rPr>
                <w:sz w:val="1"/>
                <w:szCs w:val="1"/>
                <w:color w:val="auto"/>
              </w:rPr>
            </w:pPr>
          </w:p>
        </w:tc>
      </w:tr>
      <w:tr>
        <w:trPr>
          <w:trHeight w:val="88"/>
        </w:trPr>
        <w:tc>
          <w:tcPr>
            <w:tcW w:w="16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600" w:type="dxa"/>
            <w:vAlign w:val="bottom"/>
          </w:tcPr>
          <w:p>
            <w:pPr>
              <w:spacing w:after="0"/>
              <w:rPr>
                <w:sz w:val="2"/>
                <w:szCs w:val="2"/>
                <w:color w:val="auto"/>
              </w:rPr>
            </w:pPr>
          </w:p>
        </w:tc>
        <w:tc>
          <w:tcPr>
            <w:tcW w:w="1020" w:type="dxa"/>
            <w:vAlign w:val="bottom"/>
            <w:vMerge w:val="restart"/>
          </w:tcPr>
          <w:p>
            <w:pPr>
              <w:jc w:val="center"/>
              <w:ind w:right="80"/>
              <w:spacing w:after="0"/>
              <w:rPr>
                <w:sz w:val="20"/>
                <w:szCs w:val="20"/>
                <w:color w:val="auto"/>
              </w:rPr>
            </w:pPr>
            <w:r>
              <w:rPr>
                <w:rFonts w:ascii="Trebuchet MS" w:cs="Trebuchet MS" w:eastAsia="Trebuchet MS" w:hAnsi="Trebuchet MS"/>
                <w:sz w:val="16"/>
                <w:szCs w:val="16"/>
                <w:color w:val="00001E"/>
                <w:w w:val="99"/>
              </w:rPr>
              <w:t>C9</w:t>
            </w:r>
          </w:p>
        </w:tc>
        <w:tc>
          <w:tcPr>
            <w:tcW w:w="20" w:type="dxa"/>
            <w:vAlign w:val="bottom"/>
          </w:tcPr>
          <w:p>
            <w:pPr>
              <w:spacing w:after="0"/>
              <w:rPr>
                <w:sz w:val="2"/>
                <w:szCs w:val="2"/>
                <w:color w:val="auto"/>
              </w:rPr>
            </w:pPr>
          </w:p>
        </w:tc>
        <w:tc>
          <w:tcPr>
            <w:tcW w:w="1220" w:type="dxa"/>
            <w:vAlign w:val="bottom"/>
            <w:gridSpan w:val="2"/>
            <w:vMerge w:val="restart"/>
          </w:tcPr>
          <w:p>
            <w:pPr>
              <w:jc w:val="center"/>
              <w:spacing w:after="0"/>
              <w:rPr>
                <w:sz w:val="20"/>
                <w:szCs w:val="20"/>
                <w:color w:val="auto"/>
              </w:rPr>
            </w:pPr>
            <w:r>
              <w:rPr>
                <w:rFonts w:ascii="Trebuchet MS" w:cs="Trebuchet MS" w:eastAsia="Trebuchet MS" w:hAnsi="Trebuchet MS"/>
                <w:sz w:val="16"/>
                <w:szCs w:val="16"/>
                <w:color w:val="00001E"/>
                <w:w w:val="95"/>
              </w:rPr>
              <w:t>n=9 (3:1)</w:t>
            </w:r>
          </w:p>
        </w:tc>
        <w:tc>
          <w:tcPr>
            <w:tcW w:w="20" w:type="dxa"/>
            <w:vAlign w:val="bottom"/>
          </w:tcPr>
          <w:p>
            <w:pPr>
              <w:spacing w:after="0"/>
              <w:rPr>
                <w:sz w:val="2"/>
                <w:szCs w:val="2"/>
                <w:color w:val="auto"/>
              </w:rPr>
            </w:pPr>
          </w:p>
        </w:tc>
        <w:tc>
          <w:tcPr>
            <w:tcW w:w="1320" w:type="dxa"/>
            <w:vAlign w:val="bottom"/>
            <w:vMerge w:val="restart"/>
          </w:tcPr>
          <w:p>
            <w:pPr>
              <w:jc w:val="center"/>
              <w:ind w:right="40"/>
              <w:spacing w:after="0"/>
              <w:rPr>
                <w:sz w:val="20"/>
                <w:szCs w:val="20"/>
                <w:color w:val="auto"/>
              </w:rPr>
            </w:pPr>
            <w:r>
              <w:rPr>
                <w:rFonts w:ascii="Trebuchet MS" w:cs="Trebuchet MS" w:eastAsia="Trebuchet MS" w:hAnsi="Trebuchet MS"/>
                <w:sz w:val="16"/>
                <w:szCs w:val="16"/>
                <w:color w:val="00001E"/>
              </w:rPr>
              <w:t>240mg   180mg</w:t>
            </w: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vMerge w:val="restart"/>
          </w:tcPr>
          <w:p>
            <w:pPr>
              <w:jc w:val="center"/>
              <w:ind w:right="1420"/>
              <w:spacing w:after="0"/>
              <w:rPr>
                <w:sz w:val="20"/>
                <w:szCs w:val="20"/>
                <w:color w:val="auto"/>
              </w:rPr>
            </w:pPr>
            <w:r>
              <w:rPr>
                <w:rFonts w:ascii="Trebuchet MS" w:cs="Trebuchet MS" w:eastAsia="Trebuchet MS" w:hAnsi="Trebuchet MS"/>
                <w:sz w:val="16"/>
                <w:szCs w:val="16"/>
                <w:color w:val="F3F3F2"/>
                <w:w w:val="97"/>
              </w:rPr>
              <w:t>Q8W</w:t>
            </w:r>
          </w:p>
        </w:tc>
        <w:tc>
          <w:tcPr>
            <w:tcW w:w="0" w:type="dxa"/>
            <w:vAlign w:val="bottom"/>
          </w:tcPr>
          <w:p>
            <w:pPr>
              <w:spacing w:after="0" w:line="20" w:lineRule="exact"/>
              <w:rPr>
                <w:sz w:val="1"/>
                <w:szCs w:val="1"/>
                <w:color w:val="auto"/>
              </w:rPr>
            </w:pPr>
          </w:p>
        </w:tc>
      </w:tr>
      <w:tr>
        <w:trPr>
          <w:trHeight w:val="226"/>
        </w:trPr>
        <w:tc>
          <w:tcPr>
            <w:tcW w:w="16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shd w:val="clear" w:color="auto" w:fill="7972B2"/>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 w:type="dxa"/>
            <w:vAlign w:val="bottom"/>
            <w:shd w:val="clear" w:color="auto" w:fill="7972B2"/>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Borders>
              <w:left w:val="single" w:sz="8" w:color="7972B2"/>
            </w:tcBorders>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1020" w:type="dxa"/>
            <w:vAlign w:val="bottom"/>
            <w:vMerge w:val="restart"/>
          </w:tcPr>
          <w:p>
            <w:pPr>
              <w:jc w:val="center"/>
              <w:ind w:right="80"/>
              <w:spacing w:after="0"/>
              <w:rPr>
                <w:sz w:val="20"/>
                <w:szCs w:val="20"/>
                <w:color w:val="auto"/>
              </w:rPr>
            </w:pPr>
            <w:r>
              <w:rPr>
                <w:rFonts w:ascii="Trebuchet MS" w:cs="Trebuchet MS" w:eastAsia="Trebuchet MS" w:hAnsi="Trebuchet MS"/>
                <w:sz w:val="16"/>
                <w:szCs w:val="16"/>
                <w:color w:val="00001E"/>
                <w:w w:val="92"/>
              </w:rPr>
              <w:t>C9.1</w:t>
            </w:r>
          </w:p>
        </w:tc>
        <w:tc>
          <w:tcPr>
            <w:tcW w:w="20" w:type="dxa"/>
            <w:vAlign w:val="bottom"/>
            <w:shd w:val="clear" w:color="auto" w:fill="7972B2"/>
          </w:tcPr>
          <w:p>
            <w:pPr>
              <w:spacing w:after="0"/>
              <w:rPr>
                <w:sz w:val="10"/>
                <w:szCs w:val="10"/>
                <w:color w:val="auto"/>
              </w:rPr>
            </w:pPr>
          </w:p>
        </w:tc>
        <w:tc>
          <w:tcPr>
            <w:tcW w:w="1220" w:type="dxa"/>
            <w:vAlign w:val="bottom"/>
            <w:gridSpan w:val="2"/>
            <w:vMerge w:val="restart"/>
          </w:tcPr>
          <w:p>
            <w:pPr>
              <w:jc w:val="center"/>
              <w:spacing w:after="0"/>
              <w:rPr>
                <w:sz w:val="20"/>
                <w:szCs w:val="20"/>
                <w:color w:val="auto"/>
              </w:rPr>
            </w:pPr>
            <w:r>
              <w:rPr>
                <w:rFonts w:ascii="Trebuchet MS" w:cs="Trebuchet MS" w:eastAsia="Trebuchet MS" w:hAnsi="Trebuchet MS"/>
                <w:sz w:val="16"/>
                <w:szCs w:val="16"/>
                <w:color w:val="00001E"/>
                <w:w w:val="95"/>
              </w:rPr>
              <w:t>n=8 (3:1)</w:t>
            </w:r>
          </w:p>
        </w:tc>
        <w:tc>
          <w:tcPr>
            <w:tcW w:w="20" w:type="dxa"/>
            <w:vAlign w:val="bottom"/>
            <w:shd w:val="clear" w:color="auto" w:fill="7972B2"/>
          </w:tcPr>
          <w:p>
            <w:pPr>
              <w:spacing w:after="0"/>
              <w:rPr>
                <w:sz w:val="10"/>
                <w:szCs w:val="10"/>
                <w:color w:val="auto"/>
              </w:rPr>
            </w:pPr>
          </w:p>
        </w:tc>
        <w:tc>
          <w:tcPr>
            <w:tcW w:w="1320" w:type="dxa"/>
            <w:vAlign w:val="bottom"/>
            <w:vMerge w:val="continue"/>
          </w:tcPr>
          <w:p>
            <w:pPr>
              <w:spacing w:after="0"/>
              <w:rPr>
                <w:sz w:val="10"/>
                <w:szCs w:val="10"/>
                <w:color w:val="auto"/>
              </w:rPr>
            </w:pPr>
          </w:p>
        </w:tc>
        <w:tc>
          <w:tcPr>
            <w:tcW w:w="100" w:type="dxa"/>
            <w:vAlign w:val="bottom"/>
            <w:tcBorders>
              <w:left w:val="single" w:sz="8" w:color="7972B2"/>
            </w:tcBorders>
          </w:tcPr>
          <w:p>
            <w:pPr>
              <w:spacing w:after="0"/>
              <w:rPr>
                <w:sz w:val="10"/>
                <w:szCs w:val="10"/>
                <w:color w:val="auto"/>
              </w:rPr>
            </w:pPr>
          </w:p>
        </w:tc>
        <w:tc>
          <w:tcPr>
            <w:tcW w:w="1660" w:type="dxa"/>
            <w:vAlign w:val="bottom"/>
          </w:tcPr>
          <w:p>
            <w:pPr>
              <w:spacing w:after="0"/>
              <w:rPr>
                <w:sz w:val="10"/>
                <w:szCs w:val="10"/>
                <w:color w:val="auto"/>
              </w:rPr>
            </w:pPr>
          </w:p>
        </w:tc>
        <w:tc>
          <w:tcPr>
            <w:tcW w:w="1820" w:type="dxa"/>
            <w:vAlign w:val="bottom"/>
            <w:vMerge w:val="restart"/>
          </w:tcPr>
          <w:p>
            <w:pPr>
              <w:jc w:val="center"/>
              <w:ind w:right="1420"/>
              <w:spacing w:after="0"/>
              <w:rPr>
                <w:sz w:val="20"/>
                <w:szCs w:val="20"/>
                <w:color w:val="auto"/>
              </w:rPr>
            </w:pPr>
            <w:r>
              <w:rPr>
                <w:rFonts w:ascii="Trebuchet MS" w:cs="Trebuchet MS" w:eastAsia="Trebuchet MS" w:hAnsi="Trebuchet MS"/>
                <w:sz w:val="16"/>
                <w:szCs w:val="16"/>
                <w:color w:val="F3F3F2"/>
                <w:w w:val="97"/>
              </w:rPr>
              <w:t>Q8W</w:t>
            </w:r>
          </w:p>
        </w:tc>
        <w:tc>
          <w:tcPr>
            <w:tcW w:w="0" w:type="dxa"/>
            <w:vAlign w:val="bottom"/>
          </w:tcPr>
          <w:p>
            <w:pPr>
              <w:spacing w:after="0"/>
              <w:rPr>
                <w:sz w:val="1"/>
                <w:szCs w:val="1"/>
                <w:color w:val="auto"/>
              </w:rPr>
            </w:pPr>
          </w:p>
        </w:tc>
      </w:tr>
      <w:tr>
        <w:trPr>
          <w:trHeight w:val="85"/>
        </w:trPr>
        <w:tc>
          <w:tcPr>
            <w:tcW w:w="16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0" w:type="dxa"/>
            <w:vAlign w:val="bottom"/>
            <w:shd w:val="clear" w:color="auto" w:fill="7972B2"/>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0" w:type="dxa"/>
            <w:vAlign w:val="bottom"/>
            <w:shd w:val="clear" w:color="auto" w:fill="7972B2"/>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Borders>
              <w:left w:val="single" w:sz="8" w:color="7972B2"/>
            </w:tcBorders>
          </w:tcPr>
          <w:p>
            <w:pPr>
              <w:spacing w:after="0"/>
              <w:rPr>
                <w:sz w:val="7"/>
                <w:szCs w:val="7"/>
                <w:color w:val="auto"/>
              </w:rPr>
            </w:pPr>
          </w:p>
        </w:tc>
        <w:tc>
          <w:tcPr>
            <w:tcW w:w="16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shd w:val="clear" w:color="auto" w:fill="7972B2"/>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shd w:val="clear" w:color="auto" w:fill="7972B2"/>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Borders>
              <w:left w:val="single" w:sz="8" w:color="7972B2"/>
            </w:tcBorders>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right="160" w:firstLine="480"/>
        <w:spacing w:after="0" w:line="248" w:lineRule="auto"/>
        <w:rPr>
          <w:sz w:val="20"/>
          <w:szCs w:val="20"/>
          <w:color w:val="auto"/>
        </w:rPr>
      </w:pPr>
      <w:r>
        <w:rPr>
          <w:rFonts w:ascii="Times New Roman" w:cs="Times New Roman" w:eastAsia="Times New Roman" w:hAnsi="Times New Roman"/>
          <w:sz w:val="20"/>
          <w:szCs w:val="20"/>
          <w:color w:val="auto"/>
        </w:rPr>
        <w:t>In January 2025, we presented positive preliminary data from the first 8 dosing cohorts in this study (10mg, 40mg, 80mg Q8W, 120mg Q8W, 120mg Q12W, 180mg Q8W, 180mg Q12W, and 240mg single-dose). Average patient duration on study as of the cutoff date for the data presented was approximately 28 weeks. Highlights of the data presented were as follows:</w:t>
      </w:r>
    </w:p>
    <w:p>
      <w:pPr>
        <w:spacing w:after="0" w:line="169" w:lineRule="exact"/>
        <w:rPr>
          <w:sz w:val="20"/>
          <w:szCs w:val="20"/>
          <w:color w:val="auto"/>
        </w:rPr>
      </w:pPr>
    </w:p>
    <w:p>
      <w:pPr>
        <w:ind w:left="960" w:right="38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demonstrated a rapid onset of clinical efficacy with clinical responses seen as early as 1 week post-dose and complete responses observed as early as week 2 post-dose.</w:t>
      </w:r>
    </w:p>
    <w:p>
      <w:pPr>
        <w:spacing w:after="0" w:line="174" w:lineRule="exact"/>
        <w:rPr>
          <w:rFonts w:ascii="Times New Roman" w:cs="Times New Roman" w:eastAsia="Times New Roman" w:hAnsi="Times New Roman"/>
          <w:sz w:val="20"/>
          <w:szCs w:val="20"/>
          <w:color w:val="auto"/>
        </w:rPr>
      </w:pPr>
    </w:p>
    <w:p>
      <w:pPr>
        <w:ind w:left="960" w:right="540" w:hanging="480"/>
        <w:spacing w:after="0" w:line="243" w:lineRule="auto"/>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drove deep and meaningful clinical responses with 100% complete responses through 8 weeks demonstrated at the 240mg dose level.</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was well-tolerated and demonstrated a favorable safety profile:</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KIT-related AEs were generally transient, low-grade events;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AEs observed were resolved while on study prior to subsequent doses; and</w:t>
      </w:r>
    </w:p>
    <w:p>
      <w:pPr>
        <w:spacing w:after="0" w:line="176"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dose delays, missed doses or discontinuations were reported due to AEs possibly related to KIT blockade.</w:t>
      </w:r>
    </w:p>
    <w:p>
      <w:pPr>
        <w:spacing w:after="0" w:line="174" w:lineRule="exact"/>
        <w:rPr>
          <w:sz w:val="20"/>
          <w:szCs w:val="20"/>
          <w:color w:val="auto"/>
        </w:rPr>
      </w:pPr>
    </w:p>
    <w:p>
      <w:pPr>
        <w:ind w:right="140" w:firstLine="480"/>
        <w:spacing w:after="0" w:line="246" w:lineRule="auto"/>
        <w:rPr>
          <w:sz w:val="20"/>
          <w:szCs w:val="20"/>
          <w:color w:val="auto"/>
        </w:rPr>
      </w:pPr>
      <w:r>
        <w:rPr>
          <w:rFonts w:ascii="Times New Roman" w:cs="Times New Roman" w:eastAsia="Times New Roman" w:hAnsi="Times New Roman"/>
          <w:sz w:val="20"/>
          <w:szCs w:val="20"/>
          <w:color w:val="auto"/>
        </w:rPr>
        <w:t>In July 2025, we reported updated data from the Phase 1b/2a BEACON study in CSU with updates on the 240mg and 360mg single dose cohorts as well as the 240mg Q8W and the 240mg/180mg Q8W cohorts. Highlights of the data update presented were as follows:</w:t>
      </w:r>
    </w:p>
    <w:p>
      <w:pPr>
        <w:spacing w:after="0" w:line="173" w:lineRule="exact"/>
        <w:rPr>
          <w:sz w:val="20"/>
          <w:szCs w:val="20"/>
          <w:color w:val="auto"/>
        </w:rPr>
      </w:pPr>
    </w:p>
    <w:p>
      <w:pPr>
        <w:jc w:val="both"/>
        <w:ind w:left="960" w:right="240" w:hanging="480"/>
        <w:spacing w:after="0" w:line="246"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administration continued to demonstrate deep and rapid disease control in the 240mg and 360mg single-dose cohorts with 8 of 9 (89%) of participants enrolled across both cohorts achieving a complete response, and with 7 of 9 (78%) achieving a clinical response by week 2.</w:t>
      </w:r>
    </w:p>
    <w:p>
      <w:pPr>
        <w:spacing w:after="0" w:line="172" w:lineRule="exact"/>
        <w:rPr>
          <w:rFonts w:ascii="Times New Roman" w:cs="Times New Roman" w:eastAsia="Times New Roman" w:hAnsi="Times New Roman"/>
          <w:sz w:val="20"/>
          <w:szCs w:val="20"/>
          <w:color w:val="auto"/>
        </w:rPr>
      </w:pPr>
    </w:p>
    <w:p>
      <w:pPr>
        <w:ind w:left="960" w:right="540" w:hanging="480"/>
        <w:spacing w:after="0" w:line="248" w:lineRule="auto"/>
        <w:tabs>
          <w:tab w:leader="none" w:pos="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from the 240mg Q8W and the 240mg/180mg Q8W dose cohorts demonstrated an atypical absence of UAS7 reduction in 11 of the 13 patients enrolled, and as a result, we launched an investigation into those two cohorts. Factors examined included clinical site conduct, site dosing procedures, patient selection criteria, as well as potential product lot variability in one lot of drug</w:t>
      </w:r>
    </w:p>
    <w:p>
      <w:pPr>
        <w:sectPr>
          <w:pgSz w:w="12240" w:h="15840" w:orient="portrait"/>
          <w:cols w:equalWidth="0" w:num="1">
            <w:col w:w="9360"/>
          </w:cols>
          <w:pgMar w:left="1440" w:top="948" w:right="1440" w:bottom="348"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360"/>
          </w:cols>
          <w:pgMar w:left="1440" w:top="948" w:right="1440" w:bottom="348" w:gutter="0" w:footer="0" w:header="0"/>
          <w:type w:val="continuous"/>
        </w:sectPr>
      </w:pPr>
    </w:p>
    <w:bookmarkStart w:id="10" w:name="page11"/>
    <w:bookmarkEnd w:id="10"/>
    <w:p>
      <w:pPr>
        <w:jc w:val="both"/>
        <w:ind w:left="960" w:right="340"/>
        <w:spacing w:after="0" w:line="246" w:lineRule="auto"/>
        <w:rPr>
          <w:sz w:val="20"/>
          <w:szCs w:val="20"/>
          <w:color w:val="auto"/>
        </w:rPr>
      </w:pPr>
      <w:r>
        <w:rPr>
          <w:rFonts w:ascii="Times New Roman" w:cs="Times New Roman" w:eastAsia="Times New Roman" w:hAnsi="Times New Roman"/>
          <w:sz w:val="20"/>
          <w:szCs w:val="20"/>
          <w:color w:val="auto"/>
        </w:rPr>
        <w:t>product first introduced into the BEACON study in those two cohorts. We also provided new clinical drug supply from a different lot for ongoing dosing of existing patients and subsequently enrolled an additional 10 patients in aggregate across those two cohorts.</w:t>
      </w:r>
    </w:p>
    <w:p>
      <w:pPr>
        <w:spacing w:after="0" w:line="173"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In December 2025, we reported the completion of the investigation into the confounded efficacy results reported in July 2025 from the 240mg Q8W and the 240mg/180mg Q8W cohorts of the BEACON study in CSU. Based on the work conducted, we concluded the anomalous efficacy results in these two cohorts was not the result of any issues with the investigational product used, or from DS or DP manufacturing or distribution processes, but rather appeared to be an issue resulting from patient selection process/criteria at certain clinical sites participating in the study. This conclusion reflects, among other factors:</w:t>
      </w:r>
    </w:p>
    <w:p>
      <w:pPr>
        <w:spacing w:after="0" w:line="162" w:lineRule="exact"/>
        <w:rPr>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comprehensive review of manufacturing and distribution records;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robust testing of multiple lots across the manufacturing and clinical supply chain;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independent, blinded testing of returned drug product samples from trial sites;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stability samples from the lots used in the two cohorts compared against other lots;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patient selection and enrollment processes;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investigational product handling and administration at the site level;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drug delivery methods (for example, injection site, needle and injection media);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additional patient- and site-level data.</w:t>
      </w:r>
    </w:p>
    <w:p>
      <w:pPr>
        <w:spacing w:after="0" w:line="177" w:lineRule="exact"/>
        <w:rPr>
          <w:sz w:val="20"/>
          <w:szCs w:val="20"/>
          <w:color w:val="auto"/>
        </w:rPr>
      </w:pPr>
    </w:p>
    <w:p>
      <w:pPr>
        <w:ind w:right="400" w:firstLine="480"/>
        <w:spacing w:after="0" w:line="265" w:lineRule="auto"/>
        <w:rPr>
          <w:sz w:val="20"/>
          <w:szCs w:val="20"/>
          <w:color w:val="auto"/>
        </w:rPr>
      </w:pPr>
      <w:r>
        <w:rPr>
          <w:rFonts w:ascii="Times New Roman" w:cs="Times New Roman" w:eastAsia="Times New Roman" w:hAnsi="Times New Roman"/>
          <w:sz w:val="19"/>
          <w:szCs w:val="19"/>
          <w:color w:val="auto"/>
        </w:rPr>
        <w:t>The conclusions reached as a result of the investigation were supported by expert panels comprised of key opinion leaders in clinical development and antibody manufacturing that reviewed the findings and provided feedback and recommendations that are being integrated into the planned Phase 2b/3 CSU study to increase the likelihood that CSU patients enrolled in the study would be more likely to have mast cell driven disease.</w:t>
      </w:r>
    </w:p>
    <w:p>
      <w:pPr>
        <w:spacing w:after="0" w:line="155" w:lineRule="exact"/>
        <w:rPr>
          <w:sz w:val="20"/>
          <w:szCs w:val="20"/>
          <w:color w:val="auto"/>
        </w:rPr>
      </w:pPr>
    </w:p>
    <w:p>
      <w:pPr>
        <w:jc w:val="both"/>
        <w:ind w:right="180" w:firstLine="480"/>
        <w:spacing w:after="0" w:line="246" w:lineRule="auto"/>
        <w:rPr>
          <w:sz w:val="20"/>
          <w:szCs w:val="20"/>
          <w:color w:val="auto"/>
        </w:rPr>
      </w:pPr>
      <w:r>
        <w:rPr>
          <w:rFonts w:ascii="Times New Roman" w:cs="Times New Roman" w:eastAsia="Times New Roman" w:hAnsi="Times New Roman"/>
          <w:sz w:val="20"/>
          <w:szCs w:val="20"/>
          <w:color w:val="auto"/>
        </w:rPr>
        <w:t>In January 2026, we reported updated data from the Phase 1b/2a BEACON study in CSU with updates on an additional 8 patients enrolled in the 240mg/180mg Q8W cohort (6 on briquilimab and 2 on placebo). Highlights of the data update were as follows:</w:t>
      </w:r>
    </w:p>
    <w:p>
      <w:pPr>
        <w:spacing w:after="0" w:line="173" w:lineRule="exact"/>
        <w:rPr>
          <w:sz w:val="20"/>
          <w:szCs w:val="20"/>
          <w:color w:val="auto"/>
        </w:rPr>
      </w:pPr>
    </w:p>
    <w:p>
      <w:pPr>
        <w:ind w:left="960" w:right="300"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demonstrated a rapid onset of clinical efficacy with clinical responses achieved by 5 of 6 participants (83%) by week 3.</w:t>
      </w:r>
    </w:p>
    <w:p>
      <w:pPr>
        <w:spacing w:after="0" w:line="174" w:lineRule="exact"/>
        <w:rPr>
          <w:rFonts w:ascii="Times New Roman" w:cs="Times New Roman" w:eastAsia="Times New Roman" w:hAnsi="Times New Roman"/>
          <w:sz w:val="20"/>
          <w:szCs w:val="20"/>
          <w:color w:val="auto"/>
        </w:rPr>
      </w:pPr>
    </w:p>
    <w:p>
      <w:pPr>
        <w:ind w:left="960" w:right="520" w:hanging="480"/>
        <w:spacing w:after="0" w:line="243" w:lineRule="auto"/>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drove deep and meaningful clinical responses with UAS7 reductions of as much as 29 points noted, and 4 of 6 participants (67%) reporting a complete response at 12 weeks.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continued to be well-tolerated and demonstrated a favorable safety profile:</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KIT-related AEs were generally transient, low-grade events;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AEs observed were resolved while on study prior to subsequent doses; and</w:t>
      </w:r>
    </w:p>
    <w:p>
      <w:pPr>
        <w:spacing w:after="0" w:line="176"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dose delays, missed doses or discontinuations were reported due to AEs possibly related to KIT blockade.</w:t>
      </w:r>
    </w:p>
    <w:p>
      <w:pPr>
        <w:spacing w:after="0" w:line="174"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We are also conducting a Phase 1b/2a clinical trial in patients with CIndU. Similar to CSU, CIndU is a disorder of mast cells in the skin in which patients experience swelling, redness and itching of the skin that lasts at least six weeks, but CIndU is induced by specific physical or environmental stimuli, including cold, heat, exercise, pressure, sunlight and others. CIndU includes physical urticarias, such as symptomatic dermographism and cold urticaria, as well as non-physical urticarias caused by exposure to specific stimuli, such as cholinergic urticaria and aquagenic urticaria.</w:t>
      </w:r>
    </w:p>
    <w:p>
      <w:pPr>
        <w:spacing w:after="0" w:line="168" w:lineRule="exact"/>
        <w:rPr>
          <w:sz w:val="20"/>
          <w:szCs w:val="20"/>
          <w:color w:val="auto"/>
        </w:rPr>
      </w:pPr>
    </w:p>
    <w:p>
      <w:pPr>
        <w:ind w:right="440" w:firstLine="480"/>
        <w:spacing w:after="0" w:line="265" w:lineRule="auto"/>
        <w:rPr>
          <w:sz w:val="20"/>
          <w:szCs w:val="20"/>
          <w:color w:val="auto"/>
        </w:rPr>
      </w:pPr>
      <w:r>
        <w:rPr>
          <w:rFonts w:ascii="Times New Roman" w:cs="Times New Roman" w:eastAsia="Times New Roman" w:hAnsi="Times New Roman"/>
          <w:sz w:val="19"/>
          <w:szCs w:val="19"/>
          <w:color w:val="auto"/>
        </w:rPr>
        <w:t>The FDA-approved drug therapy for CIndU consists solely of second generation H1-antihistamines. The biologic rationale for this therapy is based on modulating mast cell response. Antihistamines work to counteract the effects of histamine that is released from activated mast cells. CIndU is thought to affect over two million patients in the United States, France, Germany, Italy, Spain and the United Kingdom. Approximately 40% of</w:t>
      </w:r>
    </w:p>
    <w:p>
      <w:pPr>
        <w:sectPr>
          <w:pgSz w:w="12240" w:h="15840" w:orient="portrait"/>
          <w:cols w:equalWidth="0" w:num="1">
            <w:col w:w="9360"/>
          </w:cols>
          <w:pgMar w:left="1440" w:top="948" w:right="1440" w:bottom="348"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360"/>
          </w:cols>
          <w:pgMar w:left="1440" w:top="948" w:right="1440" w:bottom="348" w:gutter="0" w:footer="0" w:header="0"/>
          <w:type w:val="continuous"/>
        </w:sectPr>
      </w:pPr>
    </w:p>
    <w:bookmarkStart w:id="11" w:name="page12"/>
    <w:bookmarkEnd w:id="11"/>
    <w:p>
      <w:pPr>
        <w:ind w:right="240"/>
        <w:spacing w:after="0" w:line="249" w:lineRule="auto"/>
        <w:rPr>
          <w:sz w:val="20"/>
          <w:szCs w:val="20"/>
          <w:color w:val="auto"/>
        </w:rPr>
      </w:pPr>
      <w:r>
        <w:rPr>
          <w:rFonts w:ascii="Times New Roman" w:cs="Times New Roman" w:eastAsia="Times New Roman" w:hAnsi="Times New Roman"/>
          <w:sz w:val="20"/>
          <w:szCs w:val="20"/>
          <w:color w:val="auto"/>
        </w:rPr>
        <w:t>these patients’ CIndU is not controlled by first line antihistamines and these patients could be eligible for biologic therapy depending on disease severity. Based on preclinical and human healthy volunteer clinical data showing that briquilimab can deplete mast cells from the skin, we believe that briquilimab could be an effective therapeutic for CIndU patients. The Phase 1b/2a study is a monotherapy study being conducted in CIndU patients who are refractory to antihistamine therapy. The study design contains a single dose in three dosing cohorts (40mg, 120mg and 180mg) with a provocation test measured at various timepoints through 12 weeks post-dosing.</w:t>
      </w:r>
    </w:p>
    <w:p>
      <w:pPr>
        <w:spacing w:after="0" w:line="2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Figure 3 — Study Design for the Phase 1b/2a SPOTLIGHT Study in CIndU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83820</wp:posOffset>
            </wp:positionV>
            <wp:extent cx="5721985" cy="923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extLst>
                    </a:blip>
                    <a:srcRect/>
                    <a:stretch>
                      <a:fillRect/>
                    </a:stretch>
                  </pic:blipFill>
                  <pic:spPr bwMode="auto">
                    <a:xfrm>
                      <a:off x="0" y="0"/>
                      <a:ext cx="5721985" cy="923290"/>
                    </a:xfrm>
                    <a:prstGeom prst="rect">
                      <a:avLst/>
                    </a:prstGeom>
                    <a:noFill/>
                  </pic:spPr>
                </pic:pic>
              </a:graphicData>
            </a:graphic>
          </wp:anchor>
        </w:drawing>
      </w:r>
    </w:p>
    <w:p>
      <w:pPr>
        <w:spacing w:after="0" w:line="96" w:lineRule="exact"/>
        <w:rPr>
          <w:sz w:val="20"/>
          <w:szCs w:val="20"/>
          <w:color w:val="auto"/>
        </w:rPr>
      </w:pPr>
    </w:p>
    <w:p>
      <w:pPr>
        <w:ind w:left="560" w:hanging="139"/>
        <w:spacing w:after="0"/>
        <w:tabs>
          <w:tab w:leader="none" w:pos="560" w:val="left"/>
        </w:tabs>
        <w:numPr>
          <w:ilvl w:val="0"/>
          <w:numId w:val="15"/>
        </w:numPr>
        <w:rPr>
          <w:rFonts w:ascii="Arial" w:cs="Arial" w:eastAsia="Arial" w:hAnsi="Arial"/>
          <w:sz w:val="13"/>
          <w:szCs w:val="13"/>
          <w:color w:val="FA200F"/>
        </w:rPr>
      </w:pPr>
      <w:r>
        <w:rPr>
          <w:rFonts w:ascii="Trebuchet MS" w:cs="Trebuchet MS" w:eastAsia="Trebuchet MS" w:hAnsi="Trebuchet MS"/>
          <w:sz w:val="13"/>
          <w:szCs w:val="13"/>
          <w:color w:val="00001E"/>
        </w:rPr>
        <w:t>18-65 years of age</w:t>
      </w:r>
    </w:p>
    <w:p>
      <w:pPr>
        <w:ind w:left="320"/>
        <w:spacing w:after="0" w:line="204" w:lineRule="auto"/>
        <w:rPr>
          <w:sz w:val="20"/>
          <w:szCs w:val="20"/>
          <w:color w:val="auto"/>
        </w:rPr>
      </w:pPr>
      <w:r>
        <w:rPr>
          <w:rFonts w:ascii="Trebuchet MS" w:cs="Trebuchet MS" w:eastAsia="Trebuchet MS" w:hAnsi="Trebuchet MS"/>
          <w:sz w:val="16"/>
          <w:szCs w:val="16"/>
          <w:b w:val="1"/>
          <w:bCs w:val="1"/>
          <w:color w:val="FFFFFF"/>
        </w:rPr>
        <w:t xml:space="preserve">Provocation Test Measured at 12 Weeks </w:t>
      </w:r>
      <w:r>
        <w:rPr>
          <w:rFonts w:ascii="Trebuchet MS" w:cs="Trebuchet MS" w:eastAsia="Trebuchet MS" w:hAnsi="Trebuchet MS"/>
          <w:sz w:val="16"/>
          <w:szCs w:val="16"/>
          <w:color w:val="FFFFFF"/>
        </w:rPr>
        <w:t>(Primary Endpoint)</w:t>
      </w:r>
    </w:p>
    <w:p>
      <w:pPr>
        <w:spacing w:after="0" w:line="98"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1200" w:type="dxa"/>
            <w:vAlign w:val="bottom"/>
          </w:tcPr>
          <w:p>
            <w:pPr>
              <w:spacing w:after="0"/>
              <w:rPr>
                <w:sz w:val="20"/>
                <w:szCs w:val="20"/>
                <w:color w:val="auto"/>
              </w:rPr>
            </w:pPr>
            <w:r>
              <w:rPr>
                <w:rFonts w:ascii="Trebuchet MS" w:cs="Trebuchet MS" w:eastAsia="Trebuchet MS" w:hAnsi="Trebuchet MS"/>
                <w:sz w:val="14"/>
                <w:szCs w:val="14"/>
                <w:b w:val="1"/>
                <w:bCs w:val="1"/>
                <w:color w:val="FFFFFF"/>
              </w:rPr>
              <w:t>Dos e</w:t>
            </w:r>
          </w:p>
        </w:tc>
        <w:tc>
          <w:tcPr>
            <w:tcW w:w="2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Trebuchet MS" w:cs="Trebuchet MS" w:eastAsia="Trebuchet MS" w:hAnsi="Trebuchet MS"/>
                <w:sz w:val="14"/>
                <w:szCs w:val="14"/>
                <w:b w:val="1"/>
                <w:bCs w:val="1"/>
                <w:color w:val="FFFFFF"/>
              </w:rPr>
              <w:t>Pa tients</w:t>
            </w:r>
          </w:p>
        </w:tc>
        <w:tc>
          <w:tcPr>
            <w:tcW w:w="880" w:type="dxa"/>
            <w:vAlign w:val="bottom"/>
          </w:tcPr>
          <w:p>
            <w:pPr>
              <w:ind w:left="160"/>
              <w:spacing w:after="0"/>
              <w:rPr>
                <w:sz w:val="20"/>
                <w:szCs w:val="20"/>
                <w:color w:val="auto"/>
              </w:rPr>
            </w:pPr>
            <w:r>
              <w:rPr>
                <w:rFonts w:ascii="Trebuchet MS" w:cs="Trebuchet MS" w:eastAsia="Trebuchet MS" w:hAnsi="Trebuchet MS"/>
                <w:sz w:val="14"/>
                <w:szCs w:val="14"/>
                <w:b w:val="1"/>
                <w:bCs w:val="1"/>
                <w:color w:val="FFFFFF"/>
              </w:rPr>
              <w:t>Schedule</w:t>
            </w:r>
          </w:p>
        </w:tc>
        <w:tc>
          <w:tcPr>
            <w:tcW w:w="2000" w:type="dxa"/>
            <w:vAlign w:val="bottom"/>
          </w:tcPr>
          <w:p>
            <w:pPr>
              <w:spacing w:after="0"/>
              <w:rPr>
                <w:sz w:val="15"/>
                <w:szCs w:val="15"/>
                <w:color w:val="auto"/>
              </w:rPr>
            </w:pPr>
          </w:p>
        </w:tc>
        <w:tc>
          <w:tcPr>
            <w:tcW w:w="3260" w:type="dxa"/>
            <w:vAlign w:val="bottom"/>
          </w:tcPr>
          <w:p>
            <w:pPr>
              <w:ind w:left="180"/>
              <w:spacing w:after="0"/>
              <w:rPr>
                <w:sz w:val="20"/>
                <w:szCs w:val="20"/>
                <w:color w:val="auto"/>
              </w:rPr>
            </w:pPr>
            <w:r>
              <w:rPr>
                <w:rFonts w:ascii="Trebuchet MS" w:cs="Trebuchet MS" w:eastAsia="Trebuchet MS" w:hAnsi="Trebuchet MS"/>
                <w:sz w:val="14"/>
                <w:szCs w:val="14"/>
                <w:b w:val="1"/>
                <w:bCs w:val="1"/>
                <w:color w:val="FFFFFF"/>
              </w:rPr>
              <w:t>Key Assessments &amp; Follow -up</w:t>
            </w:r>
          </w:p>
        </w:tc>
        <w:tc>
          <w:tcPr>
            <w:tcW w:w="0" w:type="dxa"/>
            <w:vAlign w:val="bottom"/>
          </w:tcPr>
          <w:p>
            <w:pPr>
              <w:spacing w:after="0"/>
              <w:rPr>
                <w:sz w:val="1"/>
                <w:szCs w:val="1"/>
                <w:color w:val="auto"/>
              </w:rPr>
            </w:pPr>
          </w:p>
        </w:tc>
      </w:tr>
      <w:tr>
        <w:trPr>
          <w:trHeight w:val="86"/>
        </w:trPr>
        <w:tc>
          <w:tcPr>
            <w:tcW w:w="1200" w:type="dxa"/>
            <w:vAlign w:val="bottom"/>
            <w:vMerge w:val="restart"/>
          </w:tcPr>
          <w:p>
            <w:pPr>
              <w:ind w:left="140"/>
              <w:spacing w:after="0"/>
              <w:rPr>
                <w:sz w:val="20"/>
                <w:szCs w:val="20"/>
                <w:color w:val="auto"/>
              </w:rPr>
            </w:pPr>
            <w:r>
              <w:rPr>
                <w:rFonts w:ascii="Trebuchet MS" w:cs="Trebuchet MS" w:eastAsia="Trebuchet MS" w:hAnsi="Trebuchet MS"/>
                <w:sz w:val="16"/>
                <w:szCs w:val="16"/>
                <w:color w:val="00001E"/>
              </w:rPr>
              <w:t>40 mg</w:t>
            </w:r>
          </w:p>
        </w:tc>
        <w:tc>
          <w:tcPr>
            <w:tcW w:w="20" w:type="dxa"/>
            <w:vAlign w:val="bottom"/>
          </w:tcPr>
          <w:p>
            <w:pPr>
              <w:spacing w:after="0"/>
              <w:rPr>
                <w:sz w:val="7"/>
                <w:szCs w:val="7"/>
                <w:color w:val="auto"/>
              </w:rPr>
            </w:pPr>
          </w:p>
        </w:tc>
        <w:tc>
          <w:tcPr>
            <w:tcW w:w="1220" w:type="dxa"/>
            <w:vAlign w:val="bottom"/>
            <w:vMerge w:val="restart"/>
          </w:tcPr>
          <w:p>
            <w:pPr>
              <w:ind w:left="280"/>
              <w:spacing w:after="0"/>
              <w:rPr>
                <w:sz w:val="20"/>
                <w:szCs w:val="20"/>
                <w:color w:val="auto"/>
              </w:rPr>
            </w:pPr>
            <w:r>
              <w:rPr>
                <w:rFonts w:ascii="Trebuchet MS" w:cs="Trebuchet MS" w:eastAsia="Trebuchet MS" w:hAnsi="Trebuchet MS"/>
                <w:sz w:val="16"/>
                <w:szCs w:val="16"/>
                <w:color w:val="00001E"/>
              </w:rPr>
              <w:t>n=3</w:t>
            </w:r>
          </w:p>
        </w:tc>
        <w:tc>
          <w:tcPr>
            <w:tcW w:w="880" w:type="dxa"/>
            <w:vAlign w:val="bottom"/>
          </w:tcPr>
          <w:p>
            <w:pPr>
              <w:spacing w:after="0"/>
              <w:rPr>
                <w:sz w:val="7"/>
                <w:szCs w:val="7"/>
                <w:color w:val="auto"/>
              </w:rPr>
            </w:pPr>
          </w:p>
        </w:tc>
        <w:tc>
          <w:tcPr>
            <w:tcW w:w="2000" w:type="dxa"/>
            <w:vAlign w:val="bottom"/>
          </w:tcPr>
          <w:p>
            <w:pPr>
              <w:spacing w:after="0"/>
              <w:rPr>
                <w:sz w:val="7"/>
                <w:szCs w:val="7"/>
                <w:color w:val="auto"/>
              </w:rPr>
            </w:pPr>
          </w:p>
        </w:tc>
        <w:tc>
          <w:tcPr>
            <w:tcW w:w="3260" w:type="dxa"/>
            <w:vAlign w:val="bottom"/>
            <w:vMerge w:val="restart"/>
          </w:tcPr>
          <w:p>
            <w:pPr>
              <w:ind w:left="240"/>
              <w:spacing w:after="0"/>
              <w:rPr>
                <w:sz w:val="20"/>
                <w:szCs w:val="20"/>
                <w:color w:val="auto"/>
              </w:rPr>
            </w:pPr>
            <w:r>
              <w:rPr>
                <w:rFonts w:ascii="Trebuchet MS" w:cs="Trebuchet MS" w:eastAsia="Trebuchet MS" w:hAnsi="Trebuchet MS"/>
                <w:sz w:val="16"/>
                <w:szCs w:val="16"/>
                <w:b w:val="1"/>
                <w:bCs w:val="1"/>
                <w:color w:val="00001E"/>
              </w:rPr>
              <w:t>12 Week Efficacy Observation</w:t>
            </w:r>
          </w:p>
        </w:tc>
        <w:tc>
          <w:tcPr>
            <w:tcW w:w="0" w:type="dxa"/>
            <w:vAlign w:val="bottom"/>
          </w:tcPr>
          <w:p>
            <w:pPr>
              <w:spacing w:after="0"/>
              <w:rPr>
                <w:sz w:val="1"/>
                <w:szCs w:val="1"/>
                <w:color w:val="auto"/>
              </w:rPr>
            </w:pPr>
          </w:p>
        </w:tc>
      </w:tr>
      <w:tr>
        <w:trPr>
          <w:trHeight w:val="231"/>
        </w:trPr>
        <w:tc>
          <w:tcPr>
            <w:tcW w:w="1200" w:type="dxa"/>
            <w:vAlign w:val="bottom"/>
            <w:vMerge w:val="continue"/>
          </w:tcPr>
          <w:p>
            <w:pPr>
              <w:spacing w:after="0"/>
              <w:rPr>
                <w:sz w:val="20"/>
                <w:szCs w:val="20"/>
                <w:color w:val="auto"/>
              </w:rPr>
            </w:pPr>
          </w:p>
        </w:tc>
        <w:tc>
          <w:tcPr>
            <w:tcW w:w="20" w:type="dxa"/>
            <w:vAlign w:val="bottom"/>
            <w:shd w:val="clear" w:color="auto" w:fill="515D7D"/>
          </w:tcPr>
          <w:p>
            <w:pPr>
              <w:spacing w:after="0"/>
              <w:rPr>
                <w:sz w:val="20"/>
                <w:szCs w:val="20"/>
                <w:color w:val="auto"/>
              </w:rPr>
            </w:pPr>
          </w:p>
        </w:tc>
        <w:tc>
          <w:tcPr>
            <w:tcW w:w="1220" w:type="dxa"/>
            <w:vAlign w:val="bottom"/>
            <w:vMerge w:val="continue"/>
          </w:tcPr>
          <w:p>
            <w:pPr>
              <w:spacing w:after="0"/>
              <w:rPr>
                <w:sz w:val="20"/>
                <w:szCs w:val="20"/>
                <w:color w:val="auto"/>
              </w:rPr>
            </w:pPr>
          </w:p>
        </w:tc>
        <w:tc>
          <w:tcPr>
            <w:tcW w:w="880" w:type="dxa"/>
            <w:vAlign w:val="bottom"/>
            <w:tcBorders>
              <w:left w:val="single" w:sz="8" w:color="515D7D"/>
            </w:tcBorders>
          </w:tcPr>
          <w:p>
            <w:pPr>
              <w:spacing w:after="0"/>
              <w:rPr>
                <w:sz w:val="20"/>
                <w:szCs w:val="20"/>
                <w:color w:val="auto"/>
              </w:rPr>
            </w:pPr>
          </w:p>
        </w:tc>
        <w:tc>
          <w:tcPr>
            <w:tcW w:w="2000" w:type="dxa"/>
            <w:vAlign w:val="bottom"/>
            <w:tcBorders>
              <w:right w:val="single" w:sz="8" w:color="515D7D"/>
            </w:tcBorders>
          </w:tcPr>
          <w:p>
            <w:pPr>
              <w:spacing w:after="0"/>
              <w:rPr>
                <w:sz w:val="20"/>
                <w:szCs w:val="20"/>
                <w:color w:val="auto"/>
              </w:rPr>
            </w:pPr>
          </w:p>
        </w:tc>
        <w:tc>
          <w:tcPr>
            <w:tcW w:w="3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200" w:type="dxa"/>
            <w:vAlign w:val="bottom"/>
          </w:tcPr>
          <w:p>
            <w:pPr>
              <w:ind w:left="140"/>
              <w:spacing w:after="0"/>
              <w:rPr>
                <w:sz w:val="20"/>
                <w:szCs w:val="20"/>
                <w:color w:val="auto"/>
              </w:rPr>
            </w:pPr>
            <w:r>
              <w:rPr>
                <w:rFonts w:ascii="Trebuchet MS" w:cs="Trebuchet MS" w:eastAsia="Trebuchet MS" w:hAnsi="Trebuchet MS"/>
                <w:sz w:val="16"/>
                <w:szCs w:val="16"/>
                <w:color w:val="00001E"/>
              </w:rPr>
              <w:t>120 mg</w:t>
            </w:r>
          </w:p>
        </w:tc>
        <w:tc>
          <w:tcPr>
            <w:tcW w:w="20" w:type="dxa"/>
            <w:vAlign w:val="bottom"/>
            <w:shd w:val="clear" w:color="auto" w:fill="515D7D"/>
          </w:tcPr>
          <w:p>
            <w:pPr>
              <w:spacing w:after="0"/>
              <w:rPr>
                <w:sz w:val="20"/>
                <w:szCs w:val="20"/>
                <w:color w:val="auto"/>
              </w:rPr>
            </w:pPr>
          </w:p>
        </w:tc>
        <w:tc>
          <w:tcPr>
            <w:tcW w:w="1220" w:type="dxa"/>
            <w:vAlign w:val="bottom"/>
          </w:tcPr>
          <w:p>
            <w:pPr>
              <w:ind w:left="280"/>
              <w:spacing w:after="0"/>
              <w:rPr>
                <w:sz w:val="20"/>
                <w:szCs w:val="20"/>
                <w:color w:val="auto"/>
              </w:rPr>
            </w:pPr>
            <w:r>
              <w:rPr>
                <w:rFonts w:ascii="Trebuchet MS" w:cs="Trebuchet MS" w:eastAsia="Trebuchet MS" w:hAnsi="Trebuchet MS"/>
                <w:sz w:val="16"/>
                <w:szCs w:val="16"/>
                <w:color w:val="00001E"/>
              </w:rPr>
              <w:t>n=12</w:t>
            </w:r>
          </w:p>
        </w:tc>
        <w:tc>
          <w:tcPr>
            <w:tcW w:w="880" w:type="dxa"/>
            <w:vAlign w:val="bottom"/>
            <w:tcBorders>
              <w:left w:val="single" w:sz="8" w:color="515D7D"/>
            </w:tcBorders>
          </w:tcPr>
          <w:p>
            <w:pPr>
              <w:spacing w:after="0"/>
              <w:rPr>
                <w:sz w:val="20"/>
                <w:szCs w:val="20"/>
                <w:color w:val="auto"/>
              </w:rPr>
            </w:pPr>
          </w:p>
        </w:tc>
        <w:tc>
          <w:tcPr>
            <w:tcW w:w="2000" w:type="dxa"/>
            <w:vAlign w:val="bottom"/>
            <w:tcBorders>
              <w:right w:val="single" w:sz="8" w:color="515D7D"/>
            </w:tcBorders>
          </w:tcPr>
          <w:p>
            <w:pPr>
              <w:ind w:left="40"/>
              <w:spacing w:after="0"/>
              <w:rPr>
                <w:sz w:val="20"/>
                <w:szCs w:val="20"/>
                <w:color w:val="auto"/>
              </w:rPr>
            </w:pPr>
            <w:r>
              <w:rPr>
                <w:rFonts w:ascii="Trebuchet MS" w:cs="Trebuchet MS" w:eastAsia="Trebuchet MS" w:hAnsi="Trebuchet MS"/>
                <w:sz w:val="16"/>
                <w:szCs w:val="16"/>
                <w:color w:val="FFFFFF"/>
              </w:rPr>
              <w:t>Single Dose</w:t>
            </w:r>
          </w:p>
        </w:tc>
        <w:tc>
          <w:tcPr>
            <w:tcW w:w="3260" w:type="dxa"/>
            <w:vAlign w:val="bottom"/>
          </w:tcPr>
          <w:p>
            <w:pPr>
              <w:ind w:left="240"/>
              <w:spacing w:after="0"/>
              <w:rPr>
                <w:sz w:val="20"/>
                <w:szCs w:val="20"/>
                <w:color w:val="auto"/>
              </w:rPr>
            </w:pPr>
            <w:r>
              <w:rPr>
                <w:rFonts w:ascii="Trebuchet MS" w:cs="Trebuchet MS" w:eastAsia="Trebuchet MS" w:hAnsi="Trebuchet MS"/>
                <w:sz w:val="16"/>
                <w:szCs w:val="16"/>
                <w:b w:val="1"/>
                <w:bCs w:val="1"/>
                <w:color w:val="00001E"/>
              </w:rPr>
              <w:t>Period (6 Week Preliminary Analysis)</w:t>
            </w:r>
          </w:p>
        </w:tc>
        <w:tc>
          <w:tcPr>
            <w:tcW w:w="0" w:type="dxa"/>
            <w:vAlign w:val="bottom"/>
          </w:tcPr>
          <w:p>
            <w:pPr>
              <w:spacing w:after="0"/>
              <w:rPr>
                <w:sz w:val="1"/>
                <w:szCs w:val="1"/>
                <w:color w:val="auto"/>
              </w:rPr>
            </w:pPr>
          </w:p>
        </w:tc>
      </w:tr>
      <w:tr>
        <w:trPr>
          <w:trHeight w:val="255"/>
        </w:trPr>
        <w:tc>
          <w:tcPr>
            <w:tcW w:w="1200" w:type="dxa"/>
            <w:vAlign w:val="bottom"/>
          </w:tcPr>
          <w:p>
            <w:pPr>
              <w:ind w:left="140"/>
              <w:spacing w:after="0"/>
              <w:rPr>
                <w:sz w:val="20"/>
                <w:szCs w:val="20"/>
                <w:color w:val="auto"/>
              </w:rPr>
            </w:pPr>
            <w:r>
              <w:rPr>
                <w:rFonts w:ascii="Trebuchet MS" w:cs="Trebuchet MS" w:eastAsia="Trebuchet MS" w:hAnsi="Trebuchet MS"/>
                <w:sz w:val="16"/>
                <w:szCs w:val="16"/>
                <w:color w:val="00001E"/>
              </w:rPr>
              <w:t>180 mg</w:t>
            </w:r>
          </w:p>
        </w:tc>
        <w:tc>
          <w:tcPr>
            <w:tcW w:w="20" w:type="dxa"/>
            <w:vAlign w:val="bottom"/>
            <w:shd w:val="clear" w:color="auto" w:fill="515D7D"/>
          </w:tcPr>
          <w:p>
            <w:pPr>
              <w:spacing w:after="0"/>
              <w:rPr>
                <w:sz w:val="22"/>
                <w:szCs w:val="22"/>
                <w:color w:val="auto"/>
              </w:rPr>
            </w:pPr>
          </w:p>
        </w:tc>
        <w:tc>
          <w:tcPr>
            <w:tcW w:w="1220" w:type="dxa"/>
            <w:vAlign w:val="bottom"/>
          </w:tcPr>
          <w:p>
            <w:pPr>
              <w:ind w:left="280"/>
              <w:spacing w:after="0"/>
              <w:rPr>
                <w:sz w:val="20"/>
                <w:szCs w:val="20"/>
                <w:color w:val="auto"/>
              </w:rPr>
            </w:pPr>
            <w:r>
              <w:rPr>
                <w:rFonts w:ascii="Trebuchet MS" w:cs="Trebuchet MS" w:eastAsia="Trebuchet MS" w:hAnsi="Trebuchet MS"/>
                <w:sz w:val="16"/>
                <w:szCs w:val="16"/>
                <w:color w:val="00001E"/>
              </w:rPr>
              <w:t>n=12</w:t>
            </w:r>
          </w:p>
        </w:tc>
        <w:tc>
          <w:tcPr>
            <w:tcW w:w="880" w:type="dxa"/>
            <w:vAlign w:val="bottom"/>
            <w:tcBorders>
              <w:left w:val="single" w:sz="8" w:color="515D7D"/>
            </w:tcBorders>
          </w:tcPr>
          <w:p>
            <w:pPr>
              <w:spacing w:after="0"/>
              <w:rPr>
                <w:sz w:val="22"/>
                <w:szCs w:val="22"/>
                <w:color w:val="auto"/>
              </w:rPr>
            </w:pPr>
          </w:p>
        </w:tc>
        <w:tc>
          <w:tcPr>
            <w:tcW w:w="2000" w:type="dxa"/>
            <w:vAlign w:val="bottom"/>
            <w:tcBorders>
              <w:right w:val="single" w:sz="8" w:color="515D7D"/>
            </w:tcBorders>
          </w:tcPr>
          <w:p>
            <w:pPr>
              <w:spacing w:after="0"/>
              <w:rPr>
                <w:sz w:val="22"/>
                <w:szCs w:val="22"/>
                <w:color w:val="auto"/>
              </w:rPr>
            </w:pPr>
          </w:p>
        </w:tc>
        <w:tc>
          <w:tcPr>
            <w:tcW w:w="3260" w:type="dxa"/>
            <w:vAlign w:val="bottom"/>
          </w:tcPr>
          <w:p>
            <w:pPr>
              <w:ind w:left="240"/>
              <w:spacing w:after="0"/>
              <w:rPr>
                <w:sz w:val="20"/>
                <w:szCs w:val="20"/>
                <w:color w:val="auto"/>
              </w:rPr>
            </w:pPr>
            <w:r>
              <w:rPr>
                <w:rFonts w:ascii="Trebuchet MS" w:cs="Trebuchet MS" w:eastAsia="Trebuchet MS" w:hAnsi="Trebuchet MS"/>
                <w:sz w:val="16"/>
                <w:szCs w:val="16"/>
                <w:b w:val="1"/>
                <w:bCs w:val="1"/>
                <w:color w:val="00001E"/>
                <w:w w:val="97"/>
              </w:rPr>
              <w:t>+ 24 Week Additional Safety Observation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198120</wp:posOffset>
            </wp:positionV>
            <wp:extent cx="4549140" cy="852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extLst>
                    </a:blip>
                    <a:srcRect/>
                    <a:stretch>
                      <a:fillRect/>
                    </a:stretch>
                  </pic:blipFill>
                  <pic:spPr bwMode="auto">
                    <a:xfrm>
                      <a:off x="0" y="0"/>
                      <a:ext cx="4549140" cy="852805"/>
                    </a:xfrm>
                    <a:prstGeom prst="rect">
                      <a:avLst/>
                    </a:prstGeom>
                    <a:noFill/>
                  </pic:spPr>
                </pic:pic>
              </a:graphicData>
            </a:graphic>
          </wp:anchor>
        </w:drawing>
      </w:r>
    </w:p>
    <w:p>
      <w:pPr>
        <w:sectPr>
          <w:pgSz w:w="12240" w:h="15840" w:orient="portrait"/>
          <w:cols w:equalWidth="0" w:num="1">
            <w:col w:w="9360"/>
          </w:cols>
          <w:pgMar w:left="1440" w:top="948" w:right="1440" w:bottom="348" w:gutter="0" w:footer="0" w:header="0"/>
        </w:sectPr>
      </w:pPr>
    </w:p>
    <w:p>
      <w:pPr>
        <w:spacing w:after="0" w:line="395" w:lineRule="exact"/>
        <w:rPr>
          <w:sz w:val="20"/>
          <w:szCs w:val="20"/>
          <w:color w:val="auto"/>
        </w:rPr>
      </w:pPr>
    </w:p>
    <w:p>
      <w:pPr>
        <w:ind w:left="320" w:hanging="14"/>
        <w:spacing w:after="0" w:line="345" w:lineRule="auto"/>
        <w:rPr>
          <w:sz w:val="20"/>
          <w:szCs w:val="20"/>
          <w:color w:val="auto"/>
        </w:rPr>
      </w:pPr>
      <w:r>
        <w:rPr>
          <w:rFonts w:ascii="Trebuchet MS" w:cs="Trebuchet MS" w:eastAsia="Trebuchet MS" w:hAnsi="Trebuchet MS"/>
          <w:sz w:val="16"/>
          <w:szCs w:val="16"/>
          <w:b w:val="1"/>
          <w:bCs w:val="1"/>
          <w:color w:val="FFFFFF"/>
        </w:rPr>
        <w:t xml:space="preserve">Provocation Tests Used for Clinical Evaluation </w:t>
      </w:r>
      <w:r>
        <w:rPr>
          <w:rFonts w:ascii="Trebuchet MS" w:cs="Trebuchet MS" w:eastAsia="Trebuchet MS" w:hAnsi="Trebuchet MS"/>
          <w:sz w:val="16"/>
          <w:szCs w:val="16"/>
          <w:b w:val="1"/>
          <w:bCs w:val="1"/>
          <w:color w:val="00001E"/>
        </w:rPr>
        <w:t>Symptomatic Dermographism</w:t>
      </w:r>
    </w:p>
    <w:p>
      <w:pPr>
        <w:ind w:left="320"/>
        <w:spacing w:after="0" w:line="234" w:lineRule="auto"/>
        <w:rPr>
          <w:sz w:val="20"/>
          <w:szCs w:val="20"/>
          <w:color w:val="auto"/>
        </w:rPr>
      </w:pPr>
      <w:r>
        <w:rPr>
          <w:rFonts w:ascii="Trebuchet MS" w:cs="Trebuchet MS" w:eastAsia="Trebuchet MS" w:hAnsi="Trebuchet MS"/>
          <w:sz w:val="14"/>
          <w:szCs w:val="14"/>
          <w:i w:val="1"/>
          <w:iCs w:val="1"/>
          <w:color w:val="00001E"/>
        </w:rPr>
        <w:t>FricTest</w:t>
      </w:r>
      <w:r>
        <w:rPr>
          <w:rFonts w:ascii="Trebuchet MS" w:cs="Trebuchet MS" w:eastAsia="Trebuchet MS" w:hAnsi="Trebuchet MS"/>
          <w:sz w:val="17"/>
          <w:szCs w:val="17"/>
          <w:i w:val="1"/>
          <w:iCs w:val="1"/>
          <w:color w:val="00001E"/>
          <w:vertAlign w:val="superscript"/>
        </w:rPr>
        <w:t>TM</w:t>
      </w:r>
    </w:p>
    <w:p>
      <w:pPr>
        <w:ind w:left="320"/>
        <w:spacing w:after="0" w:line="202" w:lineRule="auto"/>
        <w:rPr>
          <w:sz w:val="20"/>
          <w:szCs w:val="20"/>
          <w:color w:val="auto"/>
        </w:rPr>
      </w:pPr>
      <w:r>
        <w:rPr>
          <w:rFonts w:ascii="Trebuchet MS" w:cs="Trebuchet MS" w:eastAsia="Trebuchet MS" w:hAnsi="Trebuchet MS"/>
          <w:sz w:val="14"/>
          <w:szCs w:val="14"/>
          <w:i w:val="1"/>
          <w:iCs w:val="1"/>
          <w:color w:val="00001E"/>
        </w:rPr>
        <w:t>CR – No response at Fric Level 4</w:t>
      </w:r>
    </w:p>
    <w:p>
      <w:pPr>
        <w:ind w:left="320"/>
        <w:spacing w:after="0"/>
        <w:rPr>
          <w:sz w:val="20"/>
          <w:szCs w:val="20"/>
          <w:color w:val="auto"/>
        </w:rPr>
      </w:pPr>
      <w:r>
        <w:rPr>
          <w:rFonts w:ascii="Trebuchet MS" w:cs="Trebuchet MS" w:eastAsia="Trebuchet MS" w:hAnsi="Trebuchet MS"/>
          <w:sz w:val="14"/>
          <w:szCs w:val="14"/>
          <w:i w:val="1"/>
          <w:iCs w:val="1"/>
          <w:color w:val="00001E"/>
        </w:rPr>
        <w:t>PR – &gt; 2 pin improvement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rebuchet MS" w:cs="Trebuchet MS" w:eastAsia="Trebuchet MS" w:hAnsi="Trebuchet MS"/>
          <w:sz w:val="16"/>
          <w:szCs w:val="16"/>
          <w:b w:val="1"/>
          <w:bCs w:val="1"/>
          <w:color w:val="00001E"/>
        </w:rPr>
        <w:t>Cold Induced Urticaria</w:t>
      </w:r>
    </w:p>
    <w:p>
      <w:pPr>
        <w:spacing w:after="0" w:line="3" w:lineRule="exact"/>
        <w:rPr>
          <w:sz w:val="20"/>
          <w:szCs w:val="20"/>
          <w:color w:val="auto"/>
        </w:rPr>
      </w:pPr>
    </w:p>
    <w:p>
      <w:pPr>
        <w:spacing w:after="0"/>
        <w:rPr>
          <w:sz w:val="20"/>
          <w:szCs w:val="20"/>
          <w:color w:val="auto"/>
        </w:rPr>
      </w:pPr>
      <w:r>
        <w:rPr>
          <w:rFonts w:ascii="Trebuchet MS" w:cs="Trebuchet MS" w:eastAsia="Trebuchet MS" w:hAnsi="Trebuchet MS"/>
          <w:sz w:val="14"/>
          <w:szCs w:val="14"/>
          <w:i w:val="1"/>
          <w:iCs w:val="1"/>
          <w:color w:val="00001E"/>
        </w:rPr>
        <w:t>TempTest</w:t>
      </w:r>
      <w:r>
        <w:rPr>
          <w:rFonts w:ascii="Trebuchet MS" w:cs="Trebuchet MS" w:eastAsia="Trebuchet MS" w:hAnsi="Trebuchet MS"/>
          <w:sz w:val="17"/>
          <w:szCs w:val="17"/>
          <w:i w:val="1"/>
          <w:iCs w:val="1"/>
          <w:color w:val="00001E"/>
          <w:vertAlign w:val="superscript"/>
        </w:rPr>
        <w:t>TM</w:t>
      </w:r>
    </w:p>
    <w:p>
      <w:pPr>
        <w:ind w:right="3500"/>
        <w:spacing w:after="0" w:line="249" w:lineRule="auto"/>
        <w:rPr>
          <w:sz w:val="20"/>
          <w:szCs w:val="20"/>
          <w:color w:val="auto"/>
        </w:rPr>
      </w:pPr>
      <w:r>
        <w:rPr>
          <w:rFonts w:ascii="Trebuchet MS" w:cs="Trebuchet MS" w:eastAsia="Trebuchet MS" w:hAnsi="Trebuchet MS"/>
          <w:sz w:val="13"/>
          <w:szCs w:val="13"/>
          <w:i w:val="1"/>
          <w:iCs w:val="1"/>
          <w:color w:val="00001E"/>
        </w:rPr>
        <w:t>CR – Negative test at &lt; 4ºC PR – Improvement by &gt; 4ºC</w:t>
      </w:r>
    </w:p>
    <w:p>
      <w:pPr>
        <w:spacing w:after="0" w:line="200" w:lineRule="exact"/>
        <w:rPr>
          <w:sz w:val="20"/>
          <w:szCs w:val="20"/>
          <w:color w:val="auto"/>
        </w:rPr>
      </w:pPr>
    </w:p>
    <w:p>
      <w:pPr>
        <w:sectPr>
          <w:pgSz w:w="12240" w:h="15840" w:orient="portrait"/>
          <w:cols w:equalWidth="0" w:num="2">
            <w:col w:w="3680" w:space="500"/>
            <w:col w:w="5180"/>
          </w:cols>
          <w:pgMar w:left="1440" w:top="948" w:right="1440" w:bottom="348" w:gutter="0" w:footer="0" w:header="0"/>
          <w:type w:val="continuous"/>
        </w:sectPr>
      </w:pPr>
    </w:p>
    <w:p>
      <w:pPr>
        <w:spacing w:after="0" w:line="213" w:lineRule="exact"/>
        <w:rPr>
          <w:sz w:val="20"/>
          <w:szCs w:val="20"/>
          <w:color w:val="auto"/>
        </w:rPr>
      </w:pPr>
    </w:p>
    <w:p>
      <w:pPr>
        <w:ind w:right="220" w:firstLine="480"/>
        <w:spacing w:after="0" w:line="246" w:lineRule="auto"/>
        <w:rPr>
          <w:sz w:val="20"/>
          <w:szCs w:val="20"/>
          <w:color w:val="auto"/>
        </w:rPr>
      </w:pPr>
      <w:r>
        <w:rPr>
          <w:rFonts w:ascii="Times New Roman" w:cs="Times New Roman" w:eastAsia="Times New Roman" w:hAnsi="Times New Roman"/>
          <w:sz w:val="20"/>
          <w:szCs w:val="20"/>
          <w:color w:val="auto"/>
        </w:rPr>
        <w:t>In early 2024, we commenced the Phase 1b/2a SPOTLIGHT study in CIndU. In October 2024, we presented positive preliminary data on the 40mg and 120mg cohorts from the study showing the following for the 6-week preliminary analysis period following dosing, as follows:</w:t>
      </w:r>
    </w:p>
    <w:p>
      <w:pPr>
        <w:spacing w:after="0" w:line="173" w:lineRule="exact"/>
        <w:rPr>
          <w:sz w:val="20"/>
          <w:szCs w:val="20"/>
          <w:color w:val="auto"/>
        </w:rPr>
      </w:pPr>
    </w:p>
    <w:p>
      <w:pPr>
        <w:ind w:left="960" w:right="42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Across the 40mg and 120mg dosing cohorts in the study, 14 of the 15 participants (93%) achieved a clinical response;</w:t>
      </w:r>
    </w:p>
    <w:p>
      <w:pPr>
        <w:spacing w:after="0" w:line="174" w:lineRule="exact"/>
        <w:rPr>
          <w:rFonts w:ascii="Times New Roman" w:cs="Times New Roman" w:eastAsia="Times New Roman" w:hAnsi="Times New Roman"/>
          <w:sz w:val="20"/>
          <w:szCs w:val="20"/>
          <w:color w:val="auto"/>
        </w:rPr>
      </w:pPr>
    </w:p>
    <w:p>
      <w:pPr>
        <w:ind w:left="960" w:right="82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120mg dose cohort, 10 of 12 participants (83%) experienced a complete response, and 1 participant experienced a partial response; and</w:t>
      </w:r>
    </w:p>
    <w:p>
      <w:pPr>
        <w:spacing w:after="0" w:line="174" w:lineRule="exact"/>
        <w:rPr>
          <w:rFonts w:ascii="Times New Roman" w:cs="Times New Roman" w:eastAsia="Times New Roman" w:hAnsi="Times New Roman"/>
          <w:sz w:val="20"/>
          <w:szCs w:val="20"/>
          <w:color w:val="auto"/>
        </w:rPr>
      </w:pPr>
    </w:p>
    <w:p>
      <w:pPr>
        <w:ind w:left="960" w:right="140" w:hanging="480"/>
        <w:spacing w:after="0" w:line="243" w:lineRule="auto"/>
        <w:tabs>
          <w:tab w:leader="none" w:pos="9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has been well-tolerated in the study, with no serious adverse events (“SAEs”) and no grade 3 or higher AEs reported.</w:t>
      </w:r>
    </w:p>
    <w:p>
      <w:pPr>
        <w:spacing w:after="0" w:line="174" w:lineRule="exact"/>
        <w:rPr>
          <w:sz w:val="20"/>
          <w:szCs w:val="20"/>
          <w:color w:val="auto"/>
        </w:rPr>
      </w:pPr>
    </w:p>
    <w:p>
      <w:pPr>
        <w:jc w:val="both"/>
        <w:ind w:right="460" w:firstLine="480"/>
        <w:spacing w:after="0" w:line="268" w:lineRule="auto"/>
        <w:rPr>
          <w:sz w:val="20"/>
          <w:szCs w:val="20"/>
          <w:color w:val="auto"/>
        </w:rPr>
      </w:pPr>
      <w:r>
        <w:rPr>
          <w:rFonts w:ascii="Times New Roman" w:cs="Times New Roman" w:eastAsia="Times New Roman" w:hAnsi="Times New Roman"/>
          <w:sz w:val="19"/>
          <w:szCs w:val="19"/>
          <w:color w:val="auto"/>
        </w:rPr>
        <w:t>In late 2024, we added a 180mg single dose cohort to the SPOTLIGHT study in CIndU. In June 2025, we reported positive preliminary data from the 180mg single dose cohort, the highlights of which were as follows:</w:t>
      </w:r>
    </w:p>
    <w:p>
      <w:pPr>
        <w:spacing w:after="0" w:line="152" w:lineRule="exact"/>
        <w:rPr>
          <w:sz w:val="20"/>
          <w:szCs w:val="20"/>
          <w:color w:val="auto"/>
        </w:rPr>
      </w:pPr>
    </w:p>
    <w:p>
      <w:pPr>
        <w:ind w:left="960" w:right="4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treatment resulted in deep disease control at 180mg, with 12 of 12 participants (100%) enrolled in the cohort achieving a clinical response within the preliminary analysis period;</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observed was rapid and durable, with 8 of 12 participants (66%) achieving clinical response by week 2, and 7 of 12 participants (58%) maintaining clinical response through week 8; and</w:t>
      </w:r>
    </w:p>
    <w:p>
      <w:pPr>
        <w:spacing w:after="0" w:line="174" w:lineRule="exact"/>
        <w:rPr>
          <w:rFonts w:ascii="Times New Roman" w:cs="Times New Roman" w:eastAsia="Times New Roman" w:hAnsi="Times New Roman"/>
          <w:sz w:val="20"/>
          <w:szCs w:val="20"/>
          <w:color w:val="auto"/>
        </w:rPr>
      </w:pPr>
    </w:p>
    <w:p>
      <w:pPr>
        <w:ind w:left="960" w:right="280" w:hanging="480"/>
        <w:spacing w:after="0" w:line="268" w:lineRule="auto"/>
        <w:tabs>
          <w:tab w:leader="none" w:pos="9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Briquilimab continued to be well-tolerated in the study, with KIT-related AEs being low-grade events, and no grade 3 or higher AEs possibly related to KIT blockade reported in any of the dose cohorts.</w:t>
      </w:r>
    </w:p>
    <w:p>
      <w:pPr>
        <w:spacing w:after="0" w:line="152" w:lineRule="exact"/>
        <w:rPr>
          <w:sz w:val="20"/>
          <w:szCs w:val="20"/>
          <w:color w:val="auto"/>
        </w:rPr>
      </w:pPr>
    </w:p>
    <w:p>
      <w:pPr>
        <w:ind w:right="60" w:firstLine="480"/>
        <w:spacing w:after="0" w:line="265" w:lineRule="auto"/>
        <w:rPr>
          <w:sz w:val="20"/>
          <w:szCs w:val="20"/>
          <w:color w:val="auto"/>
        </w:rPr>
      </w:pPr>
      <w:r>
        <w:rPr>
          <w:rFonts w:ascii="Times New Roman" w:cs="Times New Roman" w:eastAsia="Times New Roman" w:hAnsi="Times New Roman"/>
          <w:sz w:val="19"/>
          <w:szCs w:val="19"/>
          <w:color w:val="auto"/>
        </w:rPr>
        <w:t>In addition to the BEACON and SPOTLIGHT studies, we also commenced an Open Label Extension study (the “OLE”) in which patients in the BEACON study in CSU and the SPOTLIGHT study in CIndU are eligible to roll over to once they have completed their initial safety follow up period or experienced return of disease during the safety follow up period. All patients rolling over to the OLE study are treated with a 180mg Q8W dosing regimen.</w:t>
      </w:r>
    </w:p>
    <w:p>
      <w:pPr>
        <w:sectPr>
          <w:pgSz w:w="12240" w:h="15840" w:orient="portrait"/>
          <w:cols w:equalWidth="0" w:num="1">
            <w:col w:w="9360"/>
          </w:cols>
          <w:pgMar w:left="1440" w:top="948" w:right="1440" w:bottom="3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360"/>
          </w:cols>
          <w:pgMar w:left="1440" w:top="948" w:right="1440" w:bottom="348" w:gutter="0" w:footer="0" w:header="0"/>
          <w:type w:val="continuous"/>
        </w:sectPr>
      </w:pPr>
    </w:p>
    <w:bookmarkStart w:id="12" w:name="page13"/>
    <w:bookmarkEnd w:id="12"/>
    <w:p>
      <w:pPr>
        <w:ind w:left="480"/>
        <w:spacing w:after="0"/>
        <w:rPr>
          <w:sz w:val="20"/>
          <w:szCs w:val="20"/>
          <w:color w:val="auto"/>
        </w:rPr>
      </w:pPr>
      <w:r>
        <w:rPr>
          <w:rFonts w:ascii="Times New Roman" w:cs="Times New Roman" w:eastAsia="Times New Roman" w:hAnsi="Times New Roman"/>
          <w:sz w:val="20"/>
          <w:szCs w:val="20"/>
          <w:i w:val="1"/>
          <w:iCs w:val="1"/>
          <w:color w:val="auto"/>
        </w:rPr>
        <w:t>Figure 4 — Study Design for the OLE Study in CSU and CIndU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5979160" cy="19050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extLst>
                    </a:blip>
                    <a:srcRect/>
                    <a:stretch>
                      <a:fillRect/>
                    </a:stretch>
                  </pic:blipFill>
                  <pic:spPr bwMode="auto">
                    <a:xfrm>
                      <a:off x="0" y="0"/>
                      <a:ext cx="5979160" cy="1905000"/>
                    </a:xfrm>
                    <a:prstGeom prst="rect">
                      <a:avLst/>
                    </a:prstGeom>
                    <a:noFill/>
                  </pic:spPr>
                </pic:pic>
              </a:graphicData>
            </a:graphic>
          </wp:anchor>
        </w:drawing>
      </w:r>
    </w:p>
    <w:p>
      <w:pPr>
        <w:spacing w:after="0" w:line="172"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1880" w:type="dxa"/>
            <w:vAlign w:val="bottom"/>
            <w:vMerge w:val="restart"/>
          </w:tcPr>
          <w:p>
            <w:pPr>
              <w:spacing w:after="0"/>
              <w:rPr>
                <w:sz w:val="20"/>
                <w:szCs w:val="20"/>
                <w:color w:val="auto"/>
              </w:rPr>
            </w:pPr>
            <w:r>
              <w:rPr>
                <w:rFonts w:ascii="Trebuchet MS" w:cs="Trebuchet MS" w:eastAsia="Trebuchet MS" w:hAnsi="Trebuchet MS"/>
                <w:sz w:val="14"/>
                <w:szCs w:val="14"/>
                <w:b w:val="1"/>
                <w:bCs w:val="1"/>
                <w:color w:val="FFFFFF"/>
              </w:rPr>
              <w:t>P a r e n t C U S t u d i e s</w:t>
            </w:r>
          </w:p>
        </w:tc>
        <w:tc>
          <w:tcPr>
            <w:tcW w:w="1860" w:type="dxa"/>
            <w:vAlign w:val="bottom"/>
          </w:tcPr>
          <w:p>
            <w:pPr>
              <w:jc w:val="center"/>
              <w:ind w:right="208"/>
              <w:spacing w:after="0"/>
              <w:rPr>
                <w:sz w:val="20"/>
                <w:szCs w:val="20"/>
                <w:color w:val="auto"/>
              </w:rPr>
            </w:pPr>
            <w:r>
              <w:rPr>
                <w:rFonts w:ascii="Trebuchet MS" w:cs="Trebuchet MS" w:eastAsia="Trebuchet MS" w:hAnsi="Trebuchet MS"/>
                <w:sz w:val="14"/>
                <w:szCs w:val="14"/>
                <w:b w:val="1"/>
                <w:bCs w:val="1"/>
                <w:color w:val="FFFFFF"/>
                <w:w w:val="84"/>
              </w:rPr>
              <w:t>P r e -</w:t>
            </w:r>
          </w:p>
        </w:tc>
        <w:tc>
          <w:tcPr>
            <w:tcW w:w="2100" w:type="dxa"/>
            <w:vAlign w:val="bottom"/>
            <w:vMerge w:val="restart"/>
          </w:tcPr>
          <w:p>
            <w:pPr>
              <w:ind w:left="600"/>
              <w:spacing w:after="0"/>
              <w:rPr>
                <w:sz w:val="20"/>
                <w:szCs w:val="20"/>
                <w:color w:val="auto"/>
              </w:rPr>
            </w:pPr>
            <w:r>
              <w:rPr>
                <w:rFonts w:ascii="Trebuchet MS" w:cs="Trebuchet MS" w:eastAsia="Trebuchet MS" w:hAnsi="Trebuchet MS"/>
                <w:sz w:val="14"/>
                <w:szCs w:val="14"/>
                <w:b w:val="1"/>
                <w:bCs w:val="1"/>
                <w:color w:val="FFFFFF"/>
                <w:w w:val="88"/>
              </w:rPr>
              <w:t>Tr e a t m e n t P e r i o d</w:t>
            </w:r>
          </w:p>
        </w:tc>
        <w:tc>
          <w:tcPr>
            <w:tcW w:w="0" w:type="dxa"/>
            <w:vAlign w:val="bottom"/>
          </w:tcPr>
          <w:p>
            <w:pPr>
              <w:spacing w:after="0"/>
              <w:rPr>
                <w:sz w:val="1"/>
                <w:szCs w:val="1"/>
                <w:color w:val="auto"/>
              </w:rPr>
            </w:pPr>
          </w:p>
        </w:tc>
      </w:tr>
      <w:tr>
        <w:trPr>
          <w:trHeight w:val="98"/>
        </w:trPr>
        <w:tc>
          <w:tcPr>
            <w:tcW w:w="1880" w:type="dxa"/>
            <w:vAlign w:val="bottom"/>
            <w:vMerge w:val="continue"/>
          </w:tcPr>
          <w:p>
            <w:pPr>
              <w:spacing w:after="0"/>
              <w:rPr>
                <w:sz w:val="8"/>
                <w:szCs w:val="8"/>
                <w:color w:val="auto"/>
              </w:rPr>
            </w:pPr>
          </w:p>
        </w:tc>
        <w:tc>
          <w:tcPr>
            <w:tcW w:w="1860" w:type="dxa"/>
            <w:vAlign w:val="bottom"/>
            <w:vMerge w:val="restart"/>
          </w:tcPr>
          <w:p>
            <w:pPr>
              <w:jc w:val="center"/>
              <w:ind w:right="208"/>
              <w:spacing w:after="0"/>
              <w:rPr>
                <w:sz w:val="20"/>
                <w:szCs w:val="20"/>
                <w:color w:val="auto"/>
              </w:rPr>
            </w:pPr>
            <w:r>
              <w:rPr>
                <w:rFonts w:ascii="Trebuchet MS" w:cs="Trebuchet MS" w:eastAsia="Trebuchet MS" w:hAnsi="Trebuchet MS"/>
                <w:sz w:val="14"/>
                <w:szCs w:val="14"/>
                <w:b w:val="1"/>
                <w:bCs w:val="1"/>
                <w:color w:val="FFFFFF"/>
                <w:w w:val="85"/>
              </w:rPr>
              <w:t>E n r o l l m e n t</w:t>
            </w: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2620" w:type="dxa"/>
        <w:tblCellMar>
          <w:top w:w="0" w:type="dxa"/>
          <w:left w:w="0" w:type="dxa"/>
          <w:bottom w:w="0" w:type="dxa"/>
          <w:right w:w="0" w:type="dxa"/>
        </w:tblCellMar>
      </w:tblPr>
      <w:tr>
        <w:trPr>
          <w:trHeight w:val="197"/>
        </w:trPr>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rebuchet MS" w:cs="Trebuchet MS" w:eastAsia="Trebuchet MS" w:hAnsi="Trebuchet MS"/>
                <w:sz w:val="17"/>
                <w:szCs w:val="17"/>
                <w:b w:val="1"/>
                <w:bCs w:val="1"/>
                <w:color w:val="FFFFFF"/>
                <w:w w:val="96"/>
              </w:rPr>
              <w:t>Eligibility</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gridSpan w:val="4"/>
            <w:vMerge w:val="restart"/>
          </w:tcPr>
          <w:p>
            <w:pPr>
              <w:jc w:val="right"/>
              <w:ind w:right="160"/>
              <w:spacing w:after="0"/>
              <w:rPr>
                <w:sz w:val="20"/>
                <w:szCs w:val="20"/>
                <w:color w:val="auto"/>
              </w:rPr>
            </w:pPr>
            <w:r>
              <w:rPr>
                <w:rFonts w:ascii="Trebuchet MS" w:cs="Trebuchet MS" w:eastAsia="Trebuchet MS" w:hAnsi="Trebuchet MS"/>
                <w:sz w:val="19"/>
                <w:szCs w:val="19"/>
                <w:b w:val="1"/>
                <w:bCs w:val="1"/>
                <w:color w:val="FFFFFF"/>
              </w:rPr>
              <w:t>180mg Q8W</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rebuchet MS" w:cs="Trebuchet MS" w:eastAsia="Trebuchet MS" w:hAnsi="Trebuchet MS"/>
                <w:sz w:val="14"/>
                <w:szCs w:val="14"/>
                <w:b w:val="1"/>
                <w:bCs w:val="1"/>
                <w:color w:val="FFFFFF"/>
              </w:rPr>
              <w:t>Study End/Treatment</w:t>
            </w: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rebuchet MS" w:cs="Trebuchet MS" w:eastAsia="Trebuchet MS" w:hAnsi="Trebuchet MS"/>
                <w:sz w:val="17"/>
                <w:szCs w:val="17"/>
                <w:b w:val="1"/>
                <w:bCs w:val="1"/>
                <w:color w:val="FFFFFF"/>
                <w:w w:val="99"/>
              </w:rPr>
              <w:t>Check</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rebuchet MS" w:cs="Trebuchet MS" w:eastAsia="Trebuchet MS" w:hAnsi="Trebuchet MS"/>
                <w:sz w:val="14"/>
                <w:szCs w:val="14"/>
                <w:b w:val="1"/>
                <w:bCs w:val="1"/>
                <w:color w:val="FFFFFF"/>
              </w:rPr>
              <w:t>Discontinuation</w:t>
            </w:r>
          </w:p>
        </w:tc>
        <w:tc>
          <w:tcPr>
            <w:tcW w:w="0" w:type="dxa"/>
            <w:vAlign w:val="bottom"/>
          </w:tcPr>
          <w:p>
            <w:pPr>
              <w:spacing w:after="0"/>
              <w:rPr>
                <w:sz w:val="1"/>
                <w:szCs w:val="1"/>
                <w:color w:val="auto"/>
              </w:rPr>
            </w:pPr>
          </w:p>
        </w:tc>
      </w:tr>
      <w:tr>
        <w:trPr>
          <w:trHeight w:val="87"/>
        </w:trPr>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2"/>
        </w:trPr>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120" w:type="dxa"/>
            <w:vAlign w:val="bottom"/>
            <w:tcBorders>
              <w:right w:val="single" w:sz="8" w:color="000032"/>
            </w:tcBorders>
          </w:tcPr>
          <w:p>
            <w:pPr>
              <w:spacing w:after="0"/>
              <w:rPr>
                <w:sz w:val="5"/>
                <w:szCs w:val="5"/>
                <w:color w:val="auto"/>
              </w:rPr>
            </w:pPr>
          </w:p>
        </w:tc>
        <w:tc>
          <w:tcPr>
            <w:tcW w:w="920" w:type="dxa"/>
            <w:vAlign w:val="bottom"/>
            <w:tcBorders>
              <w:bottom w:val="single" w:sz="8" w:color="000032"/>
            </w:tcBorders>
          </w:tcPr>
          <w:p>
            <w:pPr>
              <w:spacing w:after="0"/>
              <w:rPr>
                <w:sz w:val="5"/>
                <w:szCs w:val="5"/>
                <w:color w:val="auto"/>
              </w:rPr>
            </w:pPr>
          </w:p>
        </w:tc>
        <w:tc>
          <w:tcPr>
            <w:tcW w:w="100" w:type="dxa"/>
            <w:vAlign w:val="bottom"/>
            <w:tcBorders>
              <w:bottom w:val="single" w:sz="8" w:color="000032"/>
              <w:right w:val="single" w:sz="8" w:color="000032"/>
            </w:tcBorders>
          </w:tcPr>
          <w:p>
            <w:pPr>
              <w:spacing w:after="0"/>
              <w:rPr>
                <w:sz w:val="5"/>
                <w:szCs w:val="5"/>
                <w:color w:val="auto"/>
              </w:rPr>
            </w:pPr>
          </w:p>
        </w:tc>
        <w:tc>
          <w:tcPr>
            <w:tcW w:w="360" w:type="dxa"/>
            <w:vAlign w:val="bottom"/>
            <w:tcBorders>
              <w:bottom w:val="single" w:sz="8" w:color="000032"/>
            </w:tcBorders>
          </w:tcPr>
          <w:p>
            <w:pPr>
              <w:spacing w:after="0"/>
              <w:rPr>
                <w:sz w:val="5"/>
                <w:szCs w:val="5"/>
                <w:color w:val="auto"/>
              </w:rPr>
            </w:pPr>
          </w:p>
        </w:tc>
        <w:tc>
          <w:tcPr>
            <w:tcW w:w="360" w:type="dxa"/>
            <w:vAlign w:val="bottom"/>
            <w:tcBorders>
              <w:bottom w:val="single" w:sz="8" w:color="000032"/>
              <w:right w:val="single" w:sz="8" w:color="000032"/>
            </w:tcBorders>
          </w:tcPr>
          <w:p>
            <w:pPr>
              <w:spacing w:after="0"/>
              <w:rPr>
                <w:sz w:val="5"/>
                <w:szCs w:val="5"/>
                <w:color w:val="auto"/>
              </w:rPr>
            </w:pPr>
          </w:p>
        </w:tc>
        <w:tc>
          <w:tcPr>
            <w:tcW w:w="60" w:type="dxa"/>
            <w:vAlign w:val="bottom"/>
            <w:tcBorders>
              <w:bottom w:val="single" w:sz="8" w:color="000032"/>
            </w:tcBorders>
          </w:tcPr>
          <w:p>
            <w:pPr>
              <w:spacing w:after="0"/>
              <w:rPr>
                <w:sz w:val="5"/>
                <w:szCs w:val="5"/>
                <w:color w:val="auto"/>
              </w:rPr>
            </w:pPr>
          </w:p>
        </w:tc>
        <w:tc>
          <w:tcPr>
            <w:tcW w:w="660" w:type="dxa"/>
            <w:vAlign w:val="bottom"/>
            <w:tcBorders>
              <w:bottom w:val="single" w:sz="8" w:color="000032"/>
              <w:right w:val="single" w:sz="8" w:color="000032"/>
            </w:tcBorders>
          </w:tcPr>
          <w:p>
            <w:pPr>
              <w:spacing w:after="0"/>
              <w:rPr>
                <w:sz w:val="5"/>
                <w:szCs w:val="5"/>
                <w:color w:val="auto"/>
              </w:rPr>
            </w:pPr>
          </w:p>
        </w:tc>
        <w:tc>
          <w:tcPr>
            <w:tcW w:w="360" w:type="dxa"/>
            <w:vAlign w:val="bottom"/>
            <w:tcBorders>
              <w:bottom w:val="single" w:sz="8" w:color="000032"/>
            </w:tcBorders>
          </w:tcPr>
          <w:p>
            <w:pPr>
              <w:spacing w:after="0"/>
              <w:rPr>
                <w:sz w:val="5"/>
                <w:szCs w:val="5"/>
                <w:color w:val="auto"/>
              </w:rPr>
            </w:pPr>
          </w:p>
        </w:tc>
        <w:tc>
          <w:tcPr>
            <w:tcW w:w="360" w:type="dxa"/>
            <w:vAlign w:val="bottom"/>
            <w:tcBorders>
              <w:bottom w:val="single" w:sz="8" w:color="000032"/>
              <w:right w:val="single" w:sz="8" w:color="000032"/>
            </w:tcBorders>
          </w:tcPr>
          <w:p>
            <w:pPr>
              <w:spacing w:after="0"/>
              <w:rPr>
                <w:sz w:val="5"/>
                <w:szCs w:val="5"/>
                <w:color w:val="auto"/>
              </w:rPr>
            </w:pPr>
          </w:p>
        </w:tc>
        <w:tc>
          <w:tcPr>
            <w:tcW w:w="440" w:type="dxa"/>
            <w:vAlign w:val="bottom"/>
            <w:tcBorders>
              <w:bottom w:val="single" w:sz="8" w:color="000032"/>
            </w:tcBorders>
          </w:tcPr>
          <w:p>
            <w:pPr>
              <w:spacing w:after="0"/>
              <w:rPr>
                <w:sz w:val="5"/>
                <w:szCs w:val="5"/>
                <w:color w:val="auto"/>
              </w:rPr>
            </w:pPr>
          </w:p>
        </w:tc>
        <w:tc>
          <w:tcPr>
            <w:tcW w:w="280" w:type="dxa"/>
            <w:vAlign w:val="bottom"/>
            <w:tcBorders>
              <w:bottom w:val="single" w:sz="8" w:color="000032"/>
              <w:right w:val="single" w:sz="8" w:color="000032"/>
            </w:tcBorders>
          </w:tcPr>
          <w:p>
            <w:pPr>
              <w:spacing w:after="0"/>
              <w:rPr>
                <w:sz w:val="5"/>
                <w:szCs w:val="5"/>
                <w:color w:val="auto"/>
              </w:rPr>
            </w:pPr>
          </w:p>
        </w:tc>
        <w:tc>
          <w:tcPr>
            <w:tcW w:w="1020" w:type="dxa"/>
            <w:vAlign w:val="bottom"/>
            <w:tcBorders>
              <w:right w:val="single" w:sz="8" w:color="000032"/>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120" w:type="dxa"/>
            <w:vAlign w:val="bottom"/>
            <w:tcBorders>
              <w:right w:val="single" w:sz="8" w:color="000032"/>
            </w:tcBorders>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Borders>
              <w:right w:val="single" w:sz="8" w:color="000032"/>
            </w:tcBorders>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right w:val="single" w:sz="8" w:color="000032"/>
            </w:tcBorders>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Borders>
              <w:right w:val="single" w:sz="8" w:color="000032"/>
            </w:tcBorders>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right w:val="single" w:sz="8" w:color="000032"/>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right w:val="single" w:sz="8" w:color="000032"/>
            </w:tcBorders>
          </w:tcPr>
          <w:p>
            <w:pPr>
              <w:spacing w:after="0"/>
              <w:rPr>
                <w:sz w:val="5"/>
                <w:szCs w:val="5"/>
                <w:color w:val="auto"/>
              </w:rPr>
            </w:pPr>
          </w:p>
        </w:tc>
        <w:tc>
          <w:tcPr>
            <w:tcW w:w="1020" w:type="dxa"/>
            <w:vAlign w:val="bottom"/>
            <w:tcBorders>
              <w:right w:val="single" w:sz="8" w:color="000032"/>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040" w:type="dxa"/>
            <w:vAlign w:val="bottom"/>
            <w:gridSpan w:val="2"/>
          </w:tcPr>
          <w:p>
            <w:pPr>
              <w:jc w:val="right"/>
              <w:ind w:right="797"/>
              <w:spacing w:after="0"/>
              <w:rPr>
                <w:sz w:val="20"/>
                <w:szCs w:val="20"/>
                <w:color w:val="auto"/>
              </w:rPr>
            </w:pPr>
            <w:r>
              <w:rPr>
                <w:rFonts w:ascii="Trebuchet MS" w:cs="Trebuchet MS" w:eastAsia="Trebuchet MS" w:hAnsi="Trebuchet MS"/>
                <w:sz w:val="14"/>
                <w:szCs w:val="14"/>
                <w:b w:val="1"/>
                <w:bCs w:val="1"/>
                <w:color w:val="000032"/>
                <w:w w:val="79"/>
              </w:rPr>
              <w:t>- 2</w:t>
            </w:r>
          </w:p>
        </w:tc>
        <w:tc>
          <w:tcPr>
            <w:tcW w:w="460" w:type="dxa"/>
            <w:vAlign w:val="bottom"/>
            <w:gridSpan w:val="2"/>
          </w:tcPr>
          <w:p>
            <w:pPr>
              <w:jc w:val="right"/>
              <w:ind w:right="320"/>
              <w:spacing w:after="0"/>
              <w:rPr>
                <w:sz w:val="20"/>
                <w:szCs w:val="20"/>
                <w:color w:val="auto"/>
              </w:rPr>
            </w:pPr>
            <w:r>
              <w:rPr>
                <w:rFonts w:ascii="Trebuchet MS" w:cs="Trebuchet MS" w:eastAsia="Trebuchet MS" w:hAnsi="Trebuchet MS"/>
                <w:sz w:val="14"/>
                <w:szCs w:val="14"/>
                <w:b w:val="1"/>
                <w:bCs w:val="1"/>
                <w:color w:val="000032"/>
              </w:rPr>
              <w:t>0</w:t>
            </w:r>
          </w:p>
        </w:tc>
        <w:tc>
          <w:tcPr>
            <w:tcW w:w="420" w:type="dxa"/>
            <w:vAlign w:val="bottom"/>
            <w:gridSpan w:val="2"/>
          </w:tcPr>
          <w:p>
            <w:pPr>
              <w:jc w:val="right"/>
              <w:ind w:right="20"/>
              <w:spacing w:after="0"/>
              <w:rPr>
                <w:sz w:val="20"/>
                <w:szCs w:val="20"/>
                <w:color w:val="auto"/>
              </w:rPr>
            </w:pPr>
            <w:r>
              <w:rPr>
                <w:rFonts w:ascii="Trebuchet MS" w:cs="Trebuchet MS" w:eastAsia="Trebuchet MS" w:hAnsi="Trebuchet MS"/>
                <w:sz w:val="14"/>
                <w:szCs w:val="14"/>
                <w:b w:val="1"/>
                <w:bCs w:val="1"/>
                <w:color w:val="000032"/>
              </w:rPr>
              <w:t>8</w:t>
            </w:r>
          </w:p>
        </w:tc>
        <w:tc>
          <w:tcPr>
            <w:tcW w:w="1020" w:type="dxa"/>
            <w:vAlign w:val="bottom"/>
            <w:gridSpan w:val="2"/>
          </w:tcPr>
          <w:p>
            <w:pPr>
              <w:jc w:val="right"/>
              <w:ind w:right="280"/>
              <w:spacing w:after="0"/>
              <w:rPr>
                <w:sz w:val="20"/>
                <w:szCs w:val="20"/>
                <w:color w:val="auto"/>
              </w:rPr>
            </w:pPr>
            <w:r>
              <w:rPr>
                <w:rFonts w:ascii="Trebuchet MS" w:cs="Trebuchet MS" w:eastAsia="Trebuchet MS" w:hAnsi="Trebuchet MS"/>
                <w:sz w:val="14"/>
                <w:szCs w:val="14"/>
                <w:b w:val="1"/>
                <w:bCs w:val="1"/>
                <w:color w:val="000032"/>
              </w:rPr>
              <w:t>1 6</w:t>
            </w:r>
          </w:p>
        </w:tc>
        <w:tc>
          <w:tcPr>
            <w:tcW w:w="800" w:type="dxa"/>
            <w:vAlign w:val="bottom"/>
            <w:gridSpan w:val="2"/>
          </w:tcPr>
          <w:p>
            <w:pPr>
              <w:jc w:val="right"/>
              <w:ind w:right="340"/>
              <w:spacing w:after="0"/>
              <w:rPr>
                <w:sz w:val="20"/>
                <w:szCs w:val="20"/>
                <w:color w:val="auto"/>
              </w:rPr>
            </w:pPr>
            <w:r>
              <w:rPr>
                <w:rFonts w:ascii="Trebuchet MS" w:cs="Trebuchet MS" w:eastAsia="Trebuchet MS" w:hAnsi="Trebuchet MS"/>
                <w:sz w:val="14"/>
                <w:szCs w:val="14"/>
                <w:b w:val="1"/>
                <w:bCs w:val="1"/>
                <w:color w:val="000032"/>
              </w:rPr>
              <w:t>2 4</w:t>
            </w:r>
          </w:p>
        </w:tc>
        <w:tc>
          <w:tcPr>
            <w:tcW w:w="1300" w:type="dxa"/>
            <w:vAlign w:val="bottom"/>
            <w:gridSpan w:val="2"/>
          </w:tcPr>
          <w:p>
            <w:pPr>
              <w:jc w:val="right"/>
              <w:ind w:right="920"/>
              <w:spacing w:after="0"/>
              <w:rPr>
                <w:sz w:val="20"/>
                <w:szCs w:val="20"/>
                <w:color w:val="auto"/>
              </w:rPr>
            </w:pPr>
            <w:r>
              <w:rPr>
                <w:rFonts w:ascii="Trebuchet MS" w:cs="Trebuchet MS" w:eastAsia="Trebuchet MS" w:hAnsi="Trebuchet MS"/>
                <w:sz w:val="14"/>
                <w:szCs w:val="14"/>
                <w:b w:val="1"/>
                <w:bCs w:val="1"/>
                <w:color w:val="000032"/>
              </w:rPr>
              <w:t>3 2</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Trebuchet MS" w:cs="Trebuchet MS" w:eastAsia="Trebuchet MS" w:hAnsi="Trebuchet MS"/>
                <w:sz w:val="14"/>
                <w:szCs w:val="14"/>
                <w:b w:val="1"/>
                <w:bCs w:val="1"/>
                <w:color w:val="000032"/>
                <w:w w:val="91"/>
              </w:rPr>
              <w:t>W e e k s</w:t>
            </w: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800" w:firstLine="480"/>
        <w:spacing w:after="0" w:line="246" w:lineRule="auto"/>
        <w:rPr>
          <w:sz w:val="20"/>
          <w:szCs w:val="20"/>
          <w:color w:val="auto"/>
        </w:rPr>
      </w:pPr>
      <w:r>
        <w:rPr>
          <w:rFonts w:ascii="Times New Roman" w:cs="Times New Roman" w:eastAsia="Times New Roman" w:hAnsi="Times New Roman"/>
          <w:sz w:val="20"/>
          <w:szCs w:val="20"/>
          <w:color w:val="auto"/>
        </w:rPr>
        <w:t>In January 2026, we reported preliminary data from the OLE study in both CSU and CIndU patients. Highlights of the clinical efficacy observed in CSU and CIndU participants for the OLE study released in January 2026 were as follows:</w:t>
      </w:r>
    </w:p>
    <w:p>
      <w:pPr>
        <w:spacing w:after="0" w:line="173" w:lineRule="exact"/>
        <w:rPr>
          <w:sz w:val="20"/>
          <w:szCs w:val="20"/>
          <w:color w:val="auto"/>
        </w:rPr>
      </w:pPr>
    </w:p>
    <w:p>
      <w:pPr>
        <w:ind w:left="960" w:hanging="480"/>
        <w:spacing w:after="0" w:line="246"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CSU participants, briquilimab treatment resulted in deep and durable disease control in the OLE study with 27 of 36 participants (75%) achieving complete response or well controlled disease at the week 12 assessment; and</w:t>
      </w:r>
    </w:p>
    <w:p>
      <w:pPr>
        <w:spacing w:after="0" w:line="172" w:lineRule="exact"/>
        <w:rPr>
          <w:rFonts w:ascii="Times New Roman" w:cs="Times New Roman" w:eastAsia="Times New Roman" w:hAnsi="Times New Roman"/>
          <w:sz w:val="20"/>
          <w:szCs w:val="20"/>
          <w:color w:val="auto"/>
        </w:rPr>
      </w:pPr>
    </w:p>
    <w:p>
      <w:pPr>
        <w:ind w:left="960" w:right="120" w:hanging="480"/>
        <w:spacing w:after="0" w:line="246" w:lineRule="auto"/>
        <w:tabs>
          <w:tab w:leader="none" w:pos="9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CIndU participants, briquilimab treatment resulted in deep and durable disease control as well, with 11 of 17 participants (65%) achieving complete response or partial response at the week 16 assessment, which was 8 weeks following administration of the second dose.</w:t>
      </w:r>
    </w:p>
    <w:p>
      <w:pPr>
        <w:spacing w:after="0" w:line="173" w:lineRule="exact"/>
        <w:rPr>
          <w:sz w:val="20"/>
          <w:szCs w:val="20"/>
          <w:color w:val="auto"/>
        </w:rPr>
      </w:pPr>
    </w:p>
    <w:p>
      <w:pPr>
        <w:ind w:right="120" w:firstLine="480"/>
        <w:spacing w:after="0" w:line="243" w:lineRule="auto"/>
        <w:rPr>
          <w:sz w:val="20"/>
          <w:szCs w:val="20"/>
          <w:color w:val="auto"/>
        </w:rPr>
      </w:pPr>
      <w:r>
        <w:rPr>
          <w:rFonts w:ascii="Times New Roman" w:cs="Times New Roman" w:eastAsia="Times New Roman" w:hAnsi="Times New Roman"/>
          <w:sz w:val="20"/>
          <w:szCs w:val="20"/>
          <w:color w:val="auto"/>
        </w:rPr>
        <w:t>Across both CSU and CIndU participants in the OLE study, briquilimab continued to demonstrate a favorable safety profile:</w:t>
      </w:r>
    </w:p>
    <w:p>
      <w:pPr>
        <w:spacing w:after="0" w:line="168" w:lineRule="exact"/>
        <w:rPr>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KIT-related AEs were generally transient, low-grade events;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AEs observed were resolved while on study prior to subsequent doses;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patient discontinued therapy due to taste disturbance potentially related to briquilimab; and</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other dose delays, missed doses or discontinuations were reported due to AEs possibly related to KIT blockade.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Briquilimab in Asthma</w:t>
      </w:r>
    </w:p>
    <w:p>
      <w:pPr>
        <w:spacing w:after="0" w:line="177"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Allergic asthma is a form of asthma triggered by specific allergens that leads to constriction of smooth muscles in the airways, cellular infiltration of various immune mediators and excess production of mucus. Patients with allergic asthma may have an increased number of mast cells in the bronchi and mast cells are believed to not only be a direct driver of inflammation the asthmatic response, but to also be recruiters of other cell types that contribute to that inflammation. Given these factors, we believe that asthma may be responsive to agents that modulate mast cell response, including antihistamines and anti-IgE monoclonal antibody therapy.</w:t>
      </w:r>
    </w:p>
    <w:p>
      <w:pPr>
        <w:spacing w:after="0" w:line="168" w:lineRule="exact"/>
        <w:rPr>
          <w:sz w:val="20"/>
          <w:szCs w:val="20"/>
          <w:color w:val="auto"/>
        </w:rPr>
      </w:pPr>
    </w:p>
    <w:p>
      <w:pPr>
        <w:ind w:right="280" w:firstLine="480"/>
        <w:spacing w:after="0" w:line="241" w:lineRule="auto"/>
        <w:rPr>
          <w:sz w:val="20"/>
          <w:szCs w:val="20"/>
          <w:color w:val="auto"/>
        </w:rPr>
      </w:pPr>
      <w:r>
        <w:rPr>
          <w:rFonts w:ascii="Times New Roman" w:cs="Times New Roman" w:eastAsia="Times New Roman" w:hAnsi="Times New Roman"/>
          <w:sz w:val="20"/>
          <w:szCs w:val="20"/>
          <w:color w:val="auto"/>
        </w:rPr>
        <w:t>In late 2024, we commenced a Phase 1b clinical trial in patients with allergic asthma (the ETESIAN study). The Phase 1b study is a double-blind placebo controlled single-dose monotherapy allergen challenge study being conducted in allergic asthma patients. Patients enrolled in the study will either receive placebo, or a single 180mg dose of briquilimab. Endpoints evaluated will include both early and late asthmatic response, as measured by % decrease in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relative to baseline, and change in airway hyperresponsiveness from baseline, and both will be measured at 6 weeks post-dose and 12 weeks post-dose.</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360"/>
          </w:cols>
          <w:pgMar w:left="1440" w:top="942" w:right="1440" w:bottom="348" w:gutter="0" w:footer="0" w:header="0"/>
          <w:type w:val="continuous"/>
        </w:sectPr>
      </w:pPr>
    </w:p>
    <w:bookmarkStart w:id="13" w:name="page14"/>
    <w:bookmarkEnd w:id="13"/>
    <w:p>
      <w:pPr>
        <w:ind w:left="480"/>
        <w:spacing w:after="0"/>
        <w:rPr>
          <w:sz w:val="20"/>
          <w:szCs w:val="20"/>
          <w:color w:val="auto"/>
        </w:rPr>
      </w:pPr>
      <w:r>
        <w:rPr>
          <w:rFonts w:ascii="Times New Roman" w:cs="Times New Roman" w:eastAsia="Times New Roman" w:hAnsi="Times New Roman"/>
          <w:sz w:val="19"/>
          <w:szCs w:val="19"/>
          <w:i w:val="1"/>
          <w:iCs w:val="1"/>
          <w:color w:val="auto"/>
        </w:rPr>
        <w:t>Figure 5 — Study Design for the Phase 1b ETESIAN study in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83820</wp:posOffset>
            </wp:positionV>
            <wp:extent cx="5853430" cy="1642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extLst>
                    </a:blip>
                    <a:srcRect/>
                    <a:stretch>
                      <a:fillRect/>
                    </a:stretch>
                  </pic:blipFill>
                  <pic:spPr bwMode="auto">
                    <a:xfrm>
                      <a:off x="0" y="0"/>
                      <a:ext cx="5853430" cy="1642745"/>
                    </a:xfrm>
                    <a:prstGeom prst="rect">
                      <a:avLst/>
                    </a:prstGeom>
                    <a:noFill/>
                  </pic:spPr>
                </pic:pic>
              </a:graphicData>
            </a:graphic>
          </wp:anchor>
        </w:drawing>
      </w:r>
    </w:p>
    <w:p>
      <w:pPr>
        <w:sectPr>
          <w:pgSz w:w="12240" w:h="15840" w:orient="portrait"/>
          <w:cols w:equalWidth="0" w:num="1">
            <w:col w:w="9360"/>
          </w:cols>
          <w:pgMar w:left="1440" w:top="950" w:right="1440" w:bottom="348" w:gutter="0" w:footer="0" w:header="0"/>
        </w:sectPr>
      </w:pPr>
    </w:p>
    <w:p>
      <w:pPr>
        <w:spacing w:after="0" w:line="214" w:lineRule="exact"/>
        <w:rPr>
          <w:sz w:val="20"/>
          <w:szCs w:val="20"/>
          <w:color w:val="auto"/>
        </w:rPr>
      </w:pPr>
    </w:p>
    <w:p>
      <w:pPr>
        <w:ind w:left="240"/>
        <w:spacing w:after="0"/>
        <w:rPr>
          <w:sz w:val="20"/>
          <w:szCs w:val="20"/>
          <w:color w:val="auto"/>
        </w:rPr>
      </w:pPr>
      <w:r>
        <w:rPr>
          <w:rFonts w:ascii="Trebuchet MS" w:cs="Trebuchet MS" w:eastAsia="Trebuchet MS" w:hAnsi="Trebuchet MS"/>
          <w:sz w:val="16"/>
          <w:szCs w:val="16"/>
          <w:b w:val="1"/>
          <w:bCs w:val="1"/>
          <w:color w:val="FFFFFF"/>
        </w:rPr>
        <w:t>Allergen Challenge &amp; Methacholine PD20 Measured at</w:t>
      </w:r>
    </w:p>
    <w:p>
      <w:pPr>
        <w:spacing w:after="0" w:line="16" w:lineRule="exact"/>
        <w:rPr>
          <w:sz w:val="20"/>
          <w:szCs w:val="20"/>
          <w:color w:val="auto"/>
        </w:rPr>
      </w:pPr>
    </w:p>
    <w:p>
      <w:pPr>
        <w:ind w:left="240"/>
        <w:spacing w:after="0"/>
        <w:rPr>
          <w:sz w:val="20"/>
          <w:szCs w:val="20"/>
          <w:color w:val="auto"/>
        </w:rPr>
      </w:pPr>
      <w:r>
        <w:rPr>
          <w:rFonts w:ascii="Trebuchet MS" w:cs="Trebuchet MS" w:eastAsia="Trebuchet MS" w:hAnsi="Trebuchet MS"/>
          <w:sz w:val="16"/>
          <w:szCs w:val="16"/>
          <w:b w:val="1"/>
          <w:bCs w:val="1"/>
          <w:color w:val="FFFFFF"/>
        </w:rPr>
        <w:t>6 weeks (Primary Endpoint) and 12 weeks (Exploratory Endpoint)</w:t>
      </w:r>
    </w:p>
    <w:p>
      <w:pPr>
        <w:spacing w:after="0" w:line="147" w:lineRule="exact"/>
        <w:rPr>
          <w:sz w:val="20"/>
          <w:szCs w:val="20"/>
          <w:color w:val="auto"/>
        </w:rPr>
      </w:pPr>
    </w:p>
    <w:tbl>
      <w:tblPr>
        <w:tblLayout w:type="fixed"/>
        <w:tblInd w:w="280" w:type="dxa"/>
        <w:tblCellMar>
          <w:top w:w="0" w:type="dxa"/>
          <w:left w:w="0" w:type="dxa"/>
          <w:bottom w:w="0" w:type="dxa"/>
          <w:right w:w="0" w:type="dxa"/>
        </w:tblCellMar>
      </w:tblPr>
      <w:tr>
        <w:trPr>
          <w:trHeight w:val="173"/>
        </w:trPr>
        <w:tc>
          <w:tcPr>
            <w:tcW w:w="1220" w:type="dxa"/>
            <w:vAlign w:val="bottom"/>
          </w:tcPr>
          <w:p>
            <w:pPr>
              <w:spacing w:after="0"/>
              <w:rPr>
                <w:sz w:val="20"/>
                <w:szCs w:val="20"/>
                <w:color w:val="auto"/>
              </w:rPr>
            </w:pPr>
            <w:r>
              <w:rPr>
                <w:rFonts w:ascii="Trebuchet MS" w:cs="Trebuchet MS" w:eastAsia="Trebuchet MS" w:hAnsi="Trebuchet MS"/>
                <w:sz w:val="14"/>
                <w:szCs w:val="14"/>
                <w:b w:val="1"/>
                <w:bCs w:val="1"/>
                <w:color w:val="FFFFFF"/>
              </w:rPr>
              <w:t>P a t i e n t s</w:t>
            </w:r>
          </w:p>
        </w:tc>
        <w:tc>
          <w:tcPr>
            <w:tcW w:w="1240" w:type="dxa"/>
            <w:vAlign w:val="bottom"/>
            <w:vMerge w:val="restart"/>
          </w:tcPr>
          <w:p>
            <w:pPr>
              <w:ind w:left="120"/>
              <w:spacing w:after="0"/>
              <w:rPr>
                <w:sz w:val="20"/>
                <w:szCs w:val="20"/>
                <w:color w:val="auto"/>
              </w:rPr>
            </w:pPr>
            <w:r>
              <w:rPr>
                <w:rFonts w:ascii="Trebuchet MS" w:cs="Trebuchet MS" w:eastAsia="Trebuchet MS" w:hAnsi="Trebuchet MS"/>
                <w:sz w:val="14"/>
                <w:szCs w:val="14"/>
                <w:b w:val="1"/>
                <w:bCs w:val="1"/>
                <w:color w:val="FFFFFF"/>
              </w:rPr>
              <w:t>D o s e</w:t>
            </w:r>
          </w:p>
        </w:tc>
        <w:tc>
          <w:tcPr>
            <w:tcW w:w="20" w:type="dxa"/>
            <w:vAlign w:val="bottom"/>
          </w:tcPr>
          <w:p>
            <w:pPr>
              <w:spacing w:after="0"/>
              <w:rPr>
                <w:sz w:val="15"/>
                <w:szCs w:val="15"/>
                <w:color w:val="auto"/>
              </w:rPr>
            </w:pPr>
          </w:p>
        </w:tc>
        <w:tc>
          <w:tcPr>
            <w:tcW w:w="1220" w:type="dxa"/>
            <w:vAlign w:val="bottom"/>
            <w:vMerge w:val="restart"/>
          </w:tcPr>
          <w:p>
            <w:pPr>
              <w:ind w:left="200"/>
              <w:spacing w:after="0"/>
              <w:rPr>
                <w:sz w:val="20"/>
                <w:szCs w:val="20"/>
                <w:color w:val="auto"/>
              </w:rPr>
            </w:pPr>
            <w:r>
              <w:rPr>
                <w:rFonts w:ascii="Trebuchet MS" w:cs="Trebuchet MS" w:eastAsia="Trebuchet MS" w:hAnsi="Trebuchet MS"/>
                <w:sz w:val="14"/>
                <w:szCs w:val="14"/>
                <w:b w:val="1"/>
                <w:bCs w:val="1"/>
                <w:color w:val="FFFFFF"/>
              </w:rPr>
              <w:t>Ti me l i n e</w:t>
            </w:r>
          </w:p>
        </w:tc>
        <w:tc>
          <w:tcPr>
            <w:tcW w:w="0" w:type="dxa"/>
            <w:vAlign w:val="bottom"/>
          </w:tcPr>
          <w:p>
            <w:pPr>
              <w:spacing w:after="0"/>
              <w:rPr>
                <w:sz w:val="1"/>
                <w:szCs w:val="1"/>
                <w:color w:val="auto"/>
              </w:rPr>
            </w:pPr>
          </w:p>
        </w:tc>
      </w:tr>
      <w:tr>
        <w:trPr>
          <w:trHeight w:val="91"/>
        </w:trPr>
        <w:tc>
          <w:tcPr>
            <w:tcW w:w="1220" w:type="dxa"/>
            <w:vAlign w:val="bottom"/>
            <w:vMerge w:val="restart"/>
          </w:tcPr>
          <w:p>
            <w:pPr>
              <w:spacing w:after="0"/>
              <w:rPr>
                <w:sz w:val="20"/>
                <w:szCs w:val="20"/>
                <w:color w:val="auto"/>
              </w:rPr>
            </w:pPr>
            <w:r>
              <w:rPr>
                <w:rFonts w:ascii="Trebuchet MS" w:cs="Trebuchet MS" w:eastAsia="Trebuchet MS" w:hAnsi="Trebuchet MS"/>
                <w:sz w:val="11"/>
                <w:szCs w:val="11"/>
                <w:b w:val="1"/>
                <w:bCs w:val="1"/>
                <w:color w:val="FFFFFF"/>
              </w:rPr>
              <w:t>(Randomization)</w:t>
            </w:r>
          </w:p>
        </w:tc>
        <w:tc>
          <w:tcPr>
            <w:tcW w:w="12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220" w:type="dxa"/>
            <w:vAlign w:val="bottom"/>
            <w:vMerge w:val="continue"/>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1220" w:type="dxa"/>
            <w:vAlign w:val="bottom"/>
          </w:tcPr>
          <w:p>
            <w:pPr>
              <w:spacing w:after="0"/>
              <w:rPr>
                <w:sz w:val="11"/>
                <w:szCs w:val="11"/>
                <w:color w:val="auto"/>
              </w:rPr>
            </w:pPr>
          </w:p>
        </w:tc>
        <w:tc>
          <w:tcPr>
            <w:tcW w:w="1240" w:type="dxa"/>
            <w:vAlign w:val="bottom"/>
            <w:vMerge w:val="restart"/>
          </w:tcPr>
          <w:p>
            <w:pPr>
              <w:ind w:left="180"/>
              <w:spacing w:after="0"/>
              <w:rPr>
                <w:sz w:val="20"/>
                <w:szCs w:val="20"/>
                <w:color w:val="auto"/>
              </w:rPr>
            </w:pPr>
            <w:r>
              <w:rPr>
                <w:rFonts w:ascii="Trebuchet MS" w:cs="Trebuchet MS" w:eastAsia="Trebuchet MS" w:hAnsi="Trebuchet MS"/>
                <w:sz w:val="16"/>
                <w:szCs w:val="16"/>
                <w:color w:val="00001E"/>
              </w:rPr>
              <w:t>180 mg</w:t>
            </w:r>
          </w:p>
        </w:tc>
        <w:tc>
          <w:tcPr>
            <w:tcW w:w="20" w:type="dxa"/>
            <w:vAlign w:val="bottom"/>
          </w:tcPr>
          <w:p>
            <w:pPr>
              <w:spacing w:after="0"/>
              <w:rPr>
                <w:sz w:val="11"/>
                <w:szCs w:val="11"/>
                <w:color w:val="auto"/>
              </w:rPr>
            </w:pPr>
          </w:p>
        </w:tc>
        <w:tc>
          <w:tcPr>
            <w:tcW w:w="1220" w:type="dxa"/>
            <w:vAlign w:val="bottom"/>
            <w:vMerge w:val="restart"/>
          </w:tcPr>
          <w:p>
            <w:pPr>
              <w:ind w:left="780"/>
              <w:spacing w:after="0"/>
              <w:rPr>
                <w:sz w:val="20"/>
                <w:szCs w:val="20"/>
                <w:color w:val="auto"/>
              </w:rPr>
            </w:pPr>
            <w:r>
              <w:rPr>
                <w:rFonts w:ascii="Trebuchet MS" w:cs="Trebuchet MS" w:eastAsia="Trebuchet MS" w:hAnsi="Trebuchet MS"/>
                <w:sz w:val="14"/>
                <w:szCs w:val="14"/>
                <w:b w:val="1"/>
                <w:bCs w:val="1"/>
                <w:color w:val="00127B"/>
                <w:w w:val="98"/>
              </w:rPr>
              <w:t>Dosing</w:t>
            </w:r>
          </w:p>
        </w:tc>
        <w:tc>
          <w:tcPr>
            <w:tcW w:w="0" w:type="dxa"/>
            <w:vAlign w:val="bottom"/>
          </w:tcPr>
          <w:p>
            <w:pPr>
              <w:spacing w:after="0"/>
              <w:rPr>
                <w:sz w:val="1"/>
                <w:szCs w:val="1"/>
                <w:color w:val="auto"/>
              </w:rPr>
            </w:pPr>
          </w:p>
        </w:tc>
      </w:tr>
      <w:tr>
        <w:trPr>
          <w:trHeight w:val="485"/>
        </w:trPr>
        <w:tc>
          <w:tcPr>
            <w:tcW w:w="1220" w:type="dxa"/>
            <w:vAlign w:val="bottom"/>
            <w:tcBorders>
              <w:right w:val="single" w:sz="8" w:color="4E4D83"/>
            </w:tcBorders>
          </w:tcPr>
          <w:p>
            <w:pPr>
              <w:spacing w:after="0"/>
              <w:rPr>
                <w:sz w:val="24"/>
                <w:szCs w:val="24"/>
                <w:color w:val="auto"/>
              </w:rPr>
            </w:pPr>
          </w:p>
        </w:tc>
        <w:tc>
          <w:tcPr>
            <w:tcW w:w="1240" w:type="dxa"/>
            <w:vAlign w:val="bottom"/>
            <w:vMerge w:val="continue"/>
          </w:tcPr>
          <w:p>
            <w:pPr>
              <w:spacing w:after="0"/>
              <w:rPr>
                <w:sz w:val="24"/>
                <w:szCs w:val="24"/>
                <w:color w:val="auto"/>
              </w:rPr>
            </w:pPr>
          </w:p>
        </w:tc>
        <w:tc>
          <w:tcPr>
            <w:tcW w:w="20" w:type="dxa"/>
            <w:vAlign w:val="bottom"/>
            <w:shd w:val="clear" w:color="auto" w:fill="4E4D83"/>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20" w:type="dxa"/>
            <w:vAlign w:val="bottom"/>
            <w:tcBorders>
              <w:right w:val="single" w:sz="8" w:color="4E4D83"/>
            </w:tcBorders>
            <w:vMerge w:val="restart"/>
          </w:tcPr>
          <w:p>
            <w:pPr>
              <w:ind w:left="80"/>
              <w:spacing w:after="0"/>
              <w:rPr>
                <w:sz w:val="20"/>
                <w:szCs w:val="20"/>
                <w:color w:val="auto"/>
              </w:rPr>
            </w:pPr>
            <w:r>
              <w:rPr>
                <w:rFonts w:ascii="Trebuchet MS" w:cs="Trebuchet MS" w:eastAsia="Trebuchet MS" w:hAnsi="Trebuchet MS"/>
                <w:sz w:val="16"/>
                <w:szCs w:val="16"/>
                <w:color w:val="00001E"/>
              </w:rPr>
              <w:t>n=30 (1:1)</w:t>
            </w:r>
          </w:p>
        </w:tc>
        <w:tc>
          <w:tcPr>
            <w:tcW w:w="1240" w:type="dxa"/>
            <w:vAlign w:val="bottom"/>
            <w:vMerge w:val="continue"/>
          </w:tcPr>
          <w:p>
            <w:pPr>
              <w:spacing w:after="0"/>
              <w:rPr>
                <w:sz w:val="14"/>
                <w:szCs w:val="14"/>
                <w:color w:val="auto"/>
              </w:rPr>
            </w:pPr>
          </w:p>
        </w:tc>
        <w:tc>
          <w:tcPr>
            <w:tcW w:w="20" w:type="dxa"/>
            <w:vAlign w:val="bottom"/>
            <w:shd w:val="clear" w:color="auto" w:fill="4E4D83"/>
          </w:tcPr>
          <w:p>
            <w:pPr>
              <w:spacing w:after="0"/>
              <w:rPr>
                <w:sz w:val="14"/>
                <w:szCs w:val="14"/>
                <w:color w:val="auto"/>
              </w:rPr>
            </w:pPr>
          </w:p>
        </w:tc>
        <w:tc>
          <w:tcPr>
            <w:tcW w:w="1220" w:type="dxa"/>
            <w:vAlign w:val="bottom"/>
            <w:vMerge w:val="restart"/>
          </w:tcPr>
          <w:p>
            <w:pPr>
              <w:ind w:left="100"/>
              <w:spacing w:after="0"/>
              <w:rPr>
                <w:sz w:val="20"/>
                <w:szCs w:val="20"/>
                <w:color w:val="auto"/>
              </w:rPr>
            </w:pPr>
            <w:r>
              <w:rPr>
                <w:rFonts w:ascii="Trebuchet MS" w:cs="Trebuchet MS" w:eastAsia="Trebuchet MS" w:hAnsi="Trebuchet MS"/>
                <w:sz w:val="14"/>
                <w:szCs w:val="14"/>
                <w:b w:val="1"/>
                <w:bCs w:val="1"/>
                <w:color w:val="00127B"/>
              </w:rPr>
              <w:t>Week -2   Day 0</w:t>
            </w:r>
          </w:p>
        </w:tc>
        <w:tc>
          <w:tcPr>
            <w:tcW w:w="0" w:type="dxa"/>
            <w:vAlign w:val="bottom"/>
          </w:tcPr>
          <w:p>
            <w:pPr>
              <w:spacing w:after="0"/>
              <w:rPr>
                <w:sz w:val="1"/>
                <w:szCs w:val="1"/>
                <w:color w:val="auto"/>
              </w:rPr>
            </w:pPr>
          </w:p>
        </w:tc>
      </w:tr>
      <w:tr>
        <w:trPr>
          <w:trHeight w:val="187"/>
        </w:trPr>
        <w:tc>
          <w:tcPr>
            <w:tcW w:w="1220" w:type="dxa"/>
            <w:vAlign w:val="bottom"/>
            <w:tcBorders>
              <w:right w:val="single" w:sz="8" w:color="4E4D83"/>
            </w:tcBorders>
            <w:vMerge w:val="continue"/>
          </w:tcPr>
          <w:p>
            <w:pPr>
              <w:spacing w:after="0"/>
              <w:rPr>
                <w:sz w:val="16"/>
                <w:szCs w:val="16"/>
                <w:color w:val="auto"/>
              </w:rPr>
            </w:pPr>
          </w:p>
        </w:tc>
        <w:tc>
          <w:tcPr>
            <w:tcW w:w="1240" w:type="dxa"/>
            <w:vAlign w:val="bottom"/>
            <w:vMerge w:val="restart"/>
          </w:tcPr>
          <w:p>
            <w:pPr>
              <w:ind w:left="180"/>
              <w:spacing w:after="0"/>
              <w:rPr>
                <w:sz w:val="20"/>
                <w:szCs w:val="20"/>
                <w:color w:val="auto"/>
              </w:rPr>
            </w:pPr>
            <w:r>
              <w:rPr>
                <w:rFonts w:ascii="Trebuchet MS" w:cs="Trebuchet MS" w:eastAsia="Trebuchet MS" w:hAnsi="Trebuchet MS"/>
                <w:sz w:val="16"/>
                <w:szCs w:val="16"/>
                <w:color w:val="00001E"/>
              </w:rPr>
              <w:t>(Single Dose)</w:t>
            </w:r>
          </w:p>
        </w:tc>
        <w:tc>
          <w:tcPr>
            <w:tcW w:w="20" w:type="dxa"/>
            <w:vAlign w:val="bottom"/>
            <w:shd w:val="clear" w:color="auto" w:fill="4E4D83"/>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220" w:type="dxa"/>
            <w:vAlign w:val="bottom"/>
            <w:tcBorders>
              <w:right w:val="single" w:sz="8" w:color="4E4D83"/>
            </w:tcBorders>
          </w:tcPr>
          <w:p>
            <w:pPr>
              <w:spacing w:after="0"/>
              <w:rPr>
                <w:sz w:val="5"/>
                <w:szCs w:val="5"/>
                <w:color w:val="auto"/>
              </w:rPr>
            </w:pPr>
          </w:p>
        </w:tc>
        <w:tc>
          <w:tcPr>
            <w:tcW w:w="1240" w:type="dxa"/>
            <w:vAlign w:val="bottom"/>
            <w:vMerge w:val="continue"/>
          </w:tcPr>
          <w:p>
            <w:pPr>
              <w:spacing w:after="0"/>
              <w:rPr>
                <w:sz w:val="5"/>
                <w:szCs w:val="5"/>
                <w:color w:val="auto"/>
              </w:rPr>
            </w:pPr>
          </w:p>
        </w:tc>
        <w:tc>
          <w:tcPr>
            <w:tcW w:w="20" w:type="dxa"/>
            <w:vAlign w:val="bottom"/>
            <w:shd w:val="clear" w:color="auto" w:fill="4E4D83"/>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4"/>
        </w:trPr>
        <w:tc>
          <w:tcPr>
            <w:tcW w:w="1220" w:type="dxa"/>
            <w:vAlign w:val="bottom"/>
            <w:tcBorders>
              <w:right w:val="single" w:sz="8" w:color="4E4D83"/>
            </w:tcBorders>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shd w:val="clear" w:color="auto" w:fill="4E4D83"/>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1320" w:type="dxa"/>
            <w:vAlign w:val="bottom"/>
          </w:tcPr>
          <w:p>
            <w:pPr>
              <w:jc w:val="center"/>
              <w:ind w:right="628"/>
              <w:spacing w:after="0"/>
              <w:rPr>
                <w:sz w:val="20"/>
                <w:szCs w:val="20"/>
                <w:color w:val="auto"/>
              </w:rPr>
            </w:pPr>
            <w:r>
              <w:rPr>
                <w:rFonts w:ascii="Trebuchet MS" w:cs="Trebuchet MS" w:eastAsia="Trebuchet MS" w:hAnsi="Trebuchet MS"/>
                <w:sz w:val="14"/>
                <w:szCs w:val="14"/>
                <w:b w:val="1"/>
                <w:bCs w:val="1"/>
                <w:color w:val="00127B"/>
                <w:w w:val="99"/>
              </w:rPr>
              <w:t>Allergen</w:t>
            </w:r>
          </w:p>
        </w:tc>
        <w:tc>
          <w:tcPr>
            <w:tcW w:w="1600" w:type="dxa"/>
            <w:vAlign w:val="bottom"/>
          </w:tcPr>
          <w:p>
            <w:pPr>
              <w:jc w:val="center"/>
              <w:ind w:left="491"/>
              <w:spacing w:after="0"/>
              <w:rPr>
                <w:sz w:val="20"/>
                <w:szCs w:val="20"/>
                <w:color w:val="auto"/>
              </w:rPr>
            </w:pPr>
            <w:r>
              <w:rPr>
                <w:rFonts w:ascii="Trebuchet MS" w:cs="Trebuchet MS" w:eastAsia="Trebuchet MS" w:hAnsi="Trebuchet MS"/>
                <w:sz w:val="14"/>
                <w:szCs w:val="14"/>
                <w:b w:val="1"/>
                <w:bCs w:val="1"/>
                <w:color w:val="00127B"/>
              </w:rPr>
              <w:t>Allergen</w:t>
            </w:r>
          </w:p>
        </w:tc>
        <w:tc>
          <w:tcPr>
            <w:tcW w:w="580" w:type="dxa"/>
            <w:vAlign w:val="bottom"/>
          </w:tcPr>
          <w:p>
            <w:pPr>
              <w:ind w:left="40"/>
              <w:spacing w:after="0"/>
              <w:rPr>
                <w:sz w:val="20"/>
                <w:szCs w:val="20"/>
                <w:color w:val="auto"/>
              </w:rPr>
            </w:pPr>
            <w:r>
              <w:rPr>
                <w:rFonts w:ascii="Trebuchet MS" w:cs="Trebuchet MS" w:eastAsia="Trebuchet MS" w:hAnsi="Trebuchet MS"/>
                <w:sz w:val="14"/>
                <w:szCs w:val="14"/>
                <w:b w:val="1"/>
                <w:bCs w:val="1"/>
                <w:color w:val="00127B"/>
              </w:rPr>
              <w:t>Safety</w:t>
            </w:r>
          </w:p>
        </w:tc>
      </w:tr>
      <w:tr>
        <w:trPr>
          <w:trHeight w:val="175"/>
        </w:trPr>
        <w:tc>
          <w:tcPr>
            <w:tcW w:w="1320" w:type="dxa"/>
            <w:vAlign w:val="bottom"/>
          </w:tcPr>
          <w:p>
            <w:pPr>
              <w:jc w:val="center"/>
              <w:ind w:right="588"/>
              <w:spacing w:after="0"/>
              <w:rPr>
                <w:sz w:val="20"/>
                <w:szCs w:val="20"/>
                <w:color w:val="auto"/>
              </w:rPr>
            </w:pPr>
            <w:r>
              <w:rPr>
                <w:rFonts w:ascii="Trebuchet MS" w:cs="Trebuchet MS" w:eastAsia="Trebuchet MS" w:hAnsi="Trebuchet MS"/>
                <w:sz w:val="14"/>
                <w:szCs w:val="14"/>
                <w:b w:val="1"/>
                <w:bCs w:val="1"/>
                <w:color w:val="00127B"/>
              </w:rPr>
              <w:t>Challenge</w:t>
            </w:r>
          </w:p>
        </w:tc>
        <w:tc>
          <w:tcPr>
            <w:tcW w:w="2180" w:type="dxa"/>
            <w:vAlign w:val="bottom"/>
            <w:gridSpan w:val="2"/>
          </w:tcPr>
          <w:p>
            <w:pPr>
              <w:jc w:val="center"/>
              <w:ind w:left="711"/>
              <w:spacing w:after="0" w:line="175" w:lineRule="exact"/>
              <w:rPr>
                <w:sz w:val="20"/>
                <w:szCs w:val="20"/>
                <w:color w:val="auto"/>
              </w:rPr>
            </w:pPr>
            <w:r>
              <w:rPr>
                <w:rFonts w:ascii="Trebuchet MS" w:cs="Trebuchet MS" w:eastAsia="Trebuchet MS" w:hAnsi="Trebuchet MS"/>
                <w:sz w:val="20"/>
                <w:szCs w:val="20"/>
                <w:b w:val="1"/>
                <w:bCs w:val="1"/>
                <w:color w:val="00127B"/>
                <w:vertAlign w:val="superscript"/>
              </w:rPr>
              <w:t>Challenge</w:t>
            </w:r>
            <w:r>
              <w:rPr>
                <w:rFonts w:ascii="Trebuchet MS" w:cs="Trebuchet MS" w:eastAsia="Trebuchet MS" w:hAnsi="Trebuchet MS"/>
                <w:sz w:val="12"/>
                <w:szCs w:val="12"/>
                <w:b w:val="1"/>
                <w:bCs w:val="1"/>
                <w:color w:val="00127B"/>
              </w:rPr>
              <w:t xml:space="preserve"> Follow-Up</w:t>
            </w:r>
          </w:p>
        </w:tc>
      </w:tr>
      <w:tr>
        <w:trPr>
          <w:trHeight w:val="178"/>
        </w:trPr>
        <w:tc>
          <w:tcPr>
            <w:tcW w:w="1320" w:type="dxa"/>
            <w:vAlign w:val="bottom"/>
          </w:tcPr>
          <w:p>
            <w:pPr>
              <w:jc w:val="center"/>
              <w:ind w:right="588"/>
              <w:spacing w:after="0"/>
              <w:rPr>
                <w:sz w:val="20"/>
                <w:szCs w:val="20"/>
                <w:color w:val="auto"/>
              </w:rPr>
            </w:pPr>
            <w:r>
              <w:rPr>
                <w:rFonts w:ascii="Trebuchet MS" w:cs="Trebuchet MS" w:eastAsia="Trebuchet MS" w:hAnsi="Trebuchet MS"/>
                <w:sz w:val="14"/>
                <w:szCs w:val="14"/>
                <w:b w:val="1"/>
                <w:bCs w:val="1"/>
                <w:color w:val="00127B"/>
              </w:rPr>
              <w:t>(Primary)</w:t>
            </w:r>
          </w:p>
        </w:tc>
        <w:tc>
          <w:tcPr>
            <w:tcW w:w="1600" w:type="dxa"/>
            <w:vAlign w:val="bottom"/>
          </w:tcPr>
          <w:p>
            <w:pPr>
              <w:jc w:val="center"/>
              <w:ind w:left="551"/>
              <w:spacing w:after="0"/>
              <w:rPr>
                <w:sz w:val="20"/>
                <w:szCs w:val="20"/>
                <w:color w:val="auto"/>
              </w:rPr>
            </w:pPr>
            <w:r>
              <w:rPr>
                <w:rFonts w:ascii="Trebuchet MS" w:cs="Trebuchet MS" w:eastAsia="Trebuchet MS" w:hAnsi="Trebuchet MS"/>
                <w:sz w:val="14"/>
                <w:szCs w:val="14"/>
                <w:b w:val="1"/>
                <w:bCs w:val="1"/>
                <w:color w:val="00127B"/>
              </w:rPr>
              <w:t>(Exploratory)</w:t>
            </w:r>
          </w:p>
        </w:tc>
        <w:tc>
          <w:tcPr>
            <w:tcW w:w="580" w:type="dxa"/>
            <w:vAlign w:val="bottom"/>
          </w:tcPr>
          <w:p>
            <w:pPr>
              <w:spacing w:after="0"/>
              <w:rPr>
                <w:sz w:val="15"/>
                <w:szCs w:val="15"/>
                <w:color w:val="auto"/>
              </w:rPr>
            </w:pPr>
          </w:p>
        </w:tc>
      </w:tr>
      <w:tr>
        <w:trPr>
          <w:trHeight w:val="218"/>
        </w:trPr>
        <w:tc>
          <w:tcPr>
            <w:tcW w:w="1320" w:type="dxa"/>
            <w:vAlign w:val="bottom"/>
          </w:tcPr>
          <w:p>
            <w:pPr>
              <w:jc w:val="center"/>
              <w:ind w:right="588"/>
              <w:spacing w:after="0"/>
              <w:rPr>
                <w:sz w:val="20"/>
                <w:szCs w:val="20"/>
                <w:color w:val="auto"/>
              </w:rPr>
            </w:pPr>
            <w:r>
              <w:rPr>
                <w:rFonts w:ascii="Trebuchet MS" w:cs="Trebuchet MS" w:eastAsia="Trebuchet MS" w:hAnsi="Trebuchet MS"/>
                <w:sz w:val="14"/>
                <w:szCs w:val="14"/>
                <w:b w:val="1"/>
                <w:bCs w:val="1"/>
                <w:color w:val="00127B"/>
              </w:rPr>
              <w:t>Week 6</w:t>
            </w:r>
          </w:p>
        </w:tc>
        <w:tc>
          <w:tcPr>
            <w:tcW w:w="2180" w:type="dxa"/>
            <w:vAlign w:val="bottom"/>
            <w:gridSpan w:val="2"/>
          </w:tcPr>
          <w:p>
            <w:pPr>
              <w:jc w:val="center"/>
              <w:ind w:left="711"/>
              <w:spacing w:after="0"/>
              <w:rPr>
                <w:sz w:val="20"/>
                <w:szCs w:val="20"/>
                <w:color w:val="auto"/>
              </w:rPr>
            </w:pPr>
            <w:r>
              <w:rPr>
                <w:rFonts w:ascii="Trebuchet MS" w:cs="Trebuchet MS" w:eastAsia="Trebuchet MS" w:hAnsi="Trebuchet MS"/>
                <w:sz w:val="14"/>
                <w:szCs w:val="14"/>
                <w:b w:val="1"/>
                <w:bCs w:val="1"/>
                <w:color w:val="00127B"/>
              </w:rPr>
              <w:t>Week 12  Week 14</w:t>
            </w:r>
          </w:p>
        </w:tc>
      </w:tr>
    </w:tbl>
    <w:p>
      <w:pPr>
        <w:spacing w:after="0" w:line="849" w:lineRule="exact"/>
        <w:rPr>
          <w:sz w:val="20"/>
          <w:szCs w:val="20"/>
          <w:color w:val="auto"/>
        </w:rPr>
      </w:pPr>
    </w:p>
    <w:p>
      <w:pPr>
        <w:sectPr>
          <w:pgSz w:w="12240" w:h="15840" w:orient="portrait"/>
          <w:cols w:equalWidth="0" w:num="2">
            <w:col w:w="5300" w:space="340"/>
            <w:col w:w="3720"/>
          </w:cols>
          <w:pgMar w:left="1440" w:top="950" w:right="1440" w:bottom="348" w:gutter="0" w:footer="0" w:header="0"/>
          <w:type w:val="continuous"/>
        </w:sectPr>
      </w:pPr>
    </w:p>
    <w:p>
      <w:pPr>
        <w:spacing w:after="0" w:line="72" w:lineRule="exact"/>
        <w:rPr>
          <w:sz w:val="20"/>
          <w:szCs w:val="20"/>
          <w:color w:val="auto"/>
        </w:rPr>
      </w:pPr>
    </w:p>
    <w:p>
      <w:pPr>
        <w:ind w:right="200" w:firstLine="480"/>
        <w:spacing w:after="0" w:line="248" w:lineRule="auto"/>
        <w:rPr>
          <w:sz w:val="20"/>
          <w:szCs w:val="20"/>
          <w:color w:val="auto"/>
        </w:rPr>
      </w:pPr>
      <w:r>
        <w:rPr>
          <w:rFonts w:ascii="Times New Roman" w:cs="Times New Roman" w:eastAsia="Times New Roman" w:hAnsi="Times New Roman"/>
          <w:sz w:val="20"/>
          <w:szCs w:val="20"/>
          <w:color w:val="auto"/>
        </w:rPr>
        <w:t>In December 2025, we reported preliminary results from the ETESIAN study in 14 participants (7 receiving a single dose of 180mg briquilimab and 7 receiving placebo) who completed at least 6 weeks of allergen challenge testing following dosing with investigational product. Highlights of the clinical response observed in ETESIAN participants reported in December 2025 were as follows:</w:t>
      </w:r>
    </w:p>
    <w:p>
      <w:pPr>
        <w:spacing w:after="0" w:line="169" w:lineRule="exact"/>
        <w:rPr>
          <w:sz w:val="20"/>
          <w:szCs w:val="20"/>
          <w:color w:val="auto"/>
        </w:rPr>
      </w:pPr>
    </w:p>
    <w:p>
      <w:pPr>
        <w:ind w:left="960" w:hanging="480"/>
        <w:spacing w:after="0" w:line="232" w:lineRule="auto"/>
        <w:tabs>
          <w:tab w:leader="none" w:pos="9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to baseline, briquilimab reduced the allergen induced LAR (measured by the mean maximum percentage fall in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(%Max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and fall in area under the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time response curve (“AUC”)) at both 6 and 12 weeks with patients who received briquilimab showing an improvement in the LAR %Max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of 10.4% at 6 weeks and 8.7% at 12 weeks compared to baseline and an improvement in the LAR AUC of 25.4% at 6 weeks and 23.3% at 12 weeks.</w:t>
      </w:r>
    </w:p>
    <w:p>
      <w:pPr>
        <w:spacing w:after="0" w:line="2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Figure 6 — Change in FEV</w:t>
      </w:r>
      <w:r>
        <w:rPr>
          <w:rFonts w:ascii="Times New Roman" w:cs="Times New Roman" w:eastAsia="Times New Roman" w:hAnsi="Times New Roman"/>
          <w:sz w:val="23"/>
          <w:szCs w:val="23"/>
          <w:i w:val="1"/>
          <w:iCs w:val="1"/>
          <w:color w:val="auto"/>
          <w:vertAlign w:val="subscript"/>
        </w:rPr>
        <w:t>1</w:t>
      </w:r>
      <w:r>
        <w:rPr>
          <w:rFonts w:ascii="Times New Roman" w:cs="Times New Roman" w:eastAsia="Times New Roman" w:hAnsi="Times New Roman"/>
          <w:sz w:val="20"/>
          <w:szCs w:val="20"/>
          <w:i w:val="1"/>
          <w:iCs w:val="1"/>
          <w:color w:val="auto"/>
        </w:rPr>
        <w:t xml:space="preserve"> observed in ETESIAN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43815</wp:posOffset>
            </wp:positionV>
            <wp:extent cx="6003925" cy="2086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extLst>
                    </a:blip>
                    <a:srcRect/>
                    <a:stretch>
                      <a:fillRect/>
                    </a:stretch>
                  </pic:blipFill>
                  <pic:spPr bwMode="auto">
                    <a:xfrm>
                      <a:off x="0" y="0"/>
                      <a:ext cx="6003925" cy="2086610"/>
                    </a:xfrm>
                    <a:prstGeom prst="rect">
                      <a:avLst/>
                    </a:prstGeom>
                    <a:noFill/>
                  </pic:spPr>
                </pic:pic>
              </a:graphicData>
            </a:graphic>
          </wp:anchor>
        </w:drawing>
      </w:r>
    </w:p>
    <w:p>
      <w:pPr>
        <w:sectPr>
          <w:pgSz w:w="12240" w:h="15840" w:orient="portrait"/>
          <w:cols w:equalWidth="0" w:num="1">
            <w:col w:w="9360"/>
          </w:cols>
          <w:pgMar w:left="1440" w:top="950" w:right="1440" w:bottom="3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147" w:type="dxa"/>
        <w:tblCellMar>
          <w:top w:w="0" w:type="dxa"/>
          <w:left w:w="0" w:type="dxa"/>
          <w:bottom w:w="0" w:type="dxa"/>
          <w:right w:w="0" w:type="dxa"/>
        </w:tblCellMar>
      </w:tblPr>
      <w:tr>
        <w:trPr>
          <w:trHeight w:val="140"/>
        </w:trPr>
        <w:tc>
          <w:tcPr>
            <w:tcW w:w="116" w:type="dxa"/>
            <w:vAlign w:val="bottom"/>
            <w:textDirection w:val="btLr"/>
          </w:tcPr>
          <w:p>
            <w:pPr>
              <w:spacing w:after="0"/>
              <w:rPr>
                <w:sz w:val="20"/>
                <w:szCs w:val="20"/>
                <w:color w:val="auto"/>
              </w:rPr>
            </w:pPr>
            <w:r>
              <w:rPr>
                <w:rFonts w:ascii="Trebuchet MS" w:cs="Trebuchet MS" w:eastAsia="Trebuchet MS" w:hAnsi="Trebuchet MS"/>
                <w:sz w:val="10"/>
                <w:szCs w:val="10"/>
                <w:color w:val="00001B"/>
              </w:rPr>
              <w:t>(%)</w:t>
            </w:r>
          </w:p>
        </w:tc>
      </w:tr>
    </w:tbl>
    <w:p>
      <w:pPr>
        <w:spacing w:after="0" w:line="40" w:lineRule="exact"/>
        <w:rPr>
          <w:sz w:val="20"/>
          <w:szCs w:val="20"/>
          <w:color w:val="auto"/>
        </w:rPr>
      </w:pPr>
    </w:p>
    <w:tbl>
      <w:tblPr>
        <w:tblLayout w:type="fixed"/>
        <w:tblInd w:w="216" w:type="dxa"/>
        <w:tblCellMar>
          <w:top w:w="0" w:type="dxa"/>
          <w:left w:w="0" w:type="dxa"/>
          <w:bottom w:w="0" w:type="dxa"/>
          <w:right w:w="0" w:type="dxa"/>
        </w:tblCellMar>
      </w:tblPr>
      <w:tr>
        <w:trPr>
          <w:trHeight w:val="40"/>
        </w:trPr>
        <w:tc>
          <w:tcPr>
            <w:tcW w:w="70" w:type="dxa"/>
            <w:vAlign w:val="bottom"/>
            <w:textDirection w:val="btLr"/>
          </w:tcPr>
          <w:p>
            <w:pPr>
              <w:spacing w:after="0"/>
              <w:rPr>
                <w:sz w:val="20"/>
                <w:szCs w:val="20"/>
                <w:color w:val="auto"/>
              </w:rPr>
            </w:pPr>
            <w:r>
              <w:rPr>
                <w:rFonts w:ascii="Trebuchet MS" w:cs="Trebuchet MS" w:eastAsia="Trebuchet MS" w:hAnsi="Trebuchet MS"/>
                <w:sz w:val="6"/>
                <w:szCs w:val="6"/>
                <w:color w:val="00001B"/>
              </w:rPr>
              <w:t>1</w:t>
            </w:r>
          </w:p>
        </w:tc>
      </w:tr>
    </w:tbl>
    <w:p>
      <w:pPr>
        <w:spacing w:after="0" w:line="1" w:lineRule="exact"/>
        <w:rPr>
          <w:sz w:val="20"/>
          <w:szCs w:val="20"/>
          <w:color w:val="auto"/>
        </w:rPr>
      </w:pPr>
    </w:p>
    <w:tbl>
      <w:tblPr>
        <w:tblLayout w:type="fixed"/>
        <w:tblInd w:w="147" w:type="dxa"/>
        <w:tblCellMar>
          <w:top w:w="0" w:type="dxa"/>
          <w:left w:w="0" w:type="dxa"/>
          <w:bottom w:w="0" w:type="dxa"/>
          <w:right w:w="0" w:type="dxa"/>
        </w:tblCellMar>
      </w:tblPr>
      <w:tr>
        <w:trPr>
          <w:trHeight w:val="660"/>
        </w:trPr>
        <w:tc>
          <w:tcPr>
            <w:tcW w:w="116" w:type="dxa"/>
            <w:vAlign w:val="bottom"/>
            <w:textDirection w:val="btLr"/>
          </w:tcPr>
          <w:p>
            <w:pPr>
              <w:spacing w:after="0"/>
              <w:rPr>
                <w:sz w:val="20"/>
                <w:szCs w:val="20"/>
                <w:color w:val="auto"/>
              </w:rPr>
            </w:pPr>
            <w:r>
              <w:rPr>
                <w:rFonts w:ascii="Trebuchet MS" w:cs="Trebuchet MS" w:eastAsia="Trebuchet MS" w:hAnsi="Trebuchet MS"/>
                <w:sz w:val="10"/>
                <w:szCs w:val="10"/>
                <w:color w:val="00001B"/>
              </w:rPr>
              <w:t>Change in FEV</w:t>
            </w:r>
          </w:p>
        </w:tc>
      </w:tr>
    </w:tbl>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jc w:val="right"/>
        <w:ind w:right="1800"/>
        <w:spacing w:after="0"/>
        <w:rPr>
          <w:sz w:val="20"/>
          <w:szCs w:val="20"/>
          <w:color w:val="auto"/>
        </w:rPr>
      </w:pPr>
      <w:r>
        <w:rPr>
          <w:rFonts w:ascii="Trebuchet MS" w:cs="Trebuchet MS" w:eastAsia="Trebuchet MS" w:hAnsi="Trebuchet MS"/>
          <w:sz w:val="17"/>
          <w:szCs w:val="17"/>
          <w:color w:val="00001B"/>
        </w:rPr>
        <w:t>Placebo</w:t>
      </w:r>
    </w:p>
    <w:p>
      <w:pPr>
        <w:spacing w:after="0" w:line="54" w:lineRule="exact"/>
        <w:rPr>
          <w:sz w:val="20"/>
          <w:szCs w:val="20"/>
          <w:color w:val="auto"/>
        </w:rPr>
      </w:pPr>
    </w:p>
    <w:p>
      <w:pPr>
        <w:ind w:left="80"/>
        <w:spacing w:after="0"/>
        <w:rPr>
          <w:sz w:val="20"/>
          <w:szCs w:val="20"/>
          <w:color w:val="auto"/>
        </w:rPr>
      </w:pPr>
      <w:r>
        <w:rPr>
          <w:rFonts w:ascii="Trebuchet MS" w:cs="Trebuchet MS" w:eastAsia="Trebuchet MS" w:hAnsi="Trebuchet MS"/>
          <w:sz w:val="8"/>
          <w:szCs w:val="8"/>
          <w:color w:val="808080"/>
        </w:rPr>
        <w:t xml:space="preserve">0.0 </w:t>
      </w:r>
      <w:r>
        <w:rPr>
          <w:sz w:val="1"/>
          <w:szCs w:val="1"/>
          <w:color w:val="auto"/>
        </w:rPr>
        <w:drawing>
          <wp:inline distT="0" distB="0" distL="0" distR="0">
            <wp:extent cx="84455" cy="781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extLst>
                    </a:blip>
                    <a:srcRect/>
                    <a:stretch>
                      <a:fillRect/>
                    </a:stretch>
                  </pic:blipFill>
                  <pic:spPr bwMode="auto">
                    <a:xfrm>
                      <a:off x="0" y="0"/>
                      <a:ext cx="84455" cy="78105"/>
                    </a:xfrm>
                    <a:prstGeom prst="rect">
                      <a:avLst/>
                    </a:prstGeom>
                    <a:noFill/>
                    <a:ln>
                      <a:noFill/>
                    </a:ln>
                  </pic:spPr>
                </pic:pic>
              </a:graphicData>
            </a:graphic>
          </wp:inline>
        </w:drawing>
      </w:r>
    </w:p>
    <w:p>
      <w:pPr>
        <w:spacing w:after="0" w:line="130" w:lineRule="exact"/>
        <w:rPr>
          <w:sz w:val="20"/>
          <w:szCs w:val="20"/>
          <w:color w:val="auto"/>
        </w:rPr>
      </w:pPr>
    </w:p>
    <w:p>
      <w:pPr>
        <w:ind w:left="40"/>
        <w:spacing w:after="0"/>
        <w:rPr>
          <w:sz w:val="20"/>
          <w:szCs w:val="20"/>
          <w:color w:val="auto"/>
        </w:rPr>
      </w:pPr>
      <w:r>
        <w:rPr>
          <w:rFonts w:ascii="Trebuchet MS" w:cs="Trebuchet MS" w:eastAsia="Trebuchet MS" w:hAnsi="Trebuchet MS"/>
          <w:sz w:val="8"/>
          <w:szCs w:val="8"/>
          <w:color w:val="808080"/>
        </w:rPr>
        <w:t>-5.0</w:t>
      </w:r>
    </w:p>
    <w:p>
      <w:pPr>
        <w:spacing w:after="0" w:line="151" w:lineRule="exact"/>
        <w:rPr>
          <w:sz w:val="20"/>
          <w:szCs w:val="20"/>
          <w:color w:val="auto"/>
        </w:rPr>
      </w:pPr>
    </w:p>
    <w:p>
      <w:pPr>
        <w:spacing w:after="0"/>
        <w:rPr>
          <w:sz w:val="20"/>
          <w:szCs w:val="20"/>
          <w:color w:val="auto"/>
        </w:rPr>
      </w:pPr>
      <w:r>
        <w:rPr>
          <w:rFonts w:ascii="Trebuchet MS" w:cs="Trebuchet MS" w:eastAsia="Trebuchet MS" w:hAnsi="Trebuchet MS"/>
          <w:sz w:val="8"/>
          <w:szCs w:val="8"/>
          <w:color w:val="808080"/>
        </w:rPr>
        <w:t>-10.0</w:t>
      </w:r>
    </w:p>
    <w:p>
      <w:pPr>
        <w:spacing w:after="0" w:line="151" w:lineRule="exact"/>
        <w:rPr>
          <w:sz w:val="20"/>
          <w:szCs w:val="20"/>
          <w:color w:val="auto"/>
        </w:rPr>
      </w:pPr>
    </w:p>
    <w:p>
      <w:pPr>
        <w:spacing w:after="0"/>
        <w:rPr>
          <w:sz w:val="20"/>
          <w:szCs w:val="20"/>
          <w:color w:val="auto"/>
        </w:rPr>
      </w:pPr>
      <w:r>
        <w:rPr>
          <w:rFonts w:ascii="Trebuchet MS" w:cs="Trebuchet MS" w:eastAsia="Trebuchet MS" w:hAnsi="Trebuchet MS"/>
          <w:sz w:val="8"/>
          <w:szCs w:val="8"/>
          <w:color w:val="808080"/>
        </w:rPr>
        <w:t>-15.0</w:t>
      </w:r>
    </w:p>
    <w:p>
      <w:pPr>
        <w:spacing w:after="0" w:line="151" w:lineRule="exact"/>
        <w:rPr>
          <w:sz w:val="20"/>
          <w:szCs w:val="20"/>
          <w:color w:val="auto"/>
        </w:rPr>
      </w:pPr>
    </w:p>
    <w:p>
      <w:pPr>
        <w:spacing w:after="0"/>
        <w:rPr>
          <w:sz w:val="20"/>
          <w:szCs w:val="20"/>
          <w:color w:val="auto"/>
        </w:rPr>
      </w:pPr>
      <w:r>
        <w:rPr>
          <w:rFonts w:ascii="Trebuchet MS" w:cs="Trebuchet MS" w:eastAsia="Trebuchet MS" w:hAnsi="Trebuchet MS"/>
          <w:sz w:val="8"/>
          <w:szCs w:val="8"/>
          <w:color w:val="808080"/>
        </w:rPr>
        <w:t>-20.0</w:t>
      </w:r>
    </w:p>
    <w:p>
      <w:pPr>
        <w:spacing w:after="0" w:line="151" w:lineRule="exact"/>
        <w:rPr>
          <w:sz w:val="20"/>
          <w:szCs w:val="20"/>
          <w:color w:val="auto"/>
        </w:rPr>
      </w:pPr>
    </w:p>
    <w:p>
      <w:pPr>
        <w:spacing w:after="0"/>
        <w:rPr>
          <w:sz w:val="20"/>
          <w:szCs w:val="20"/>
          <w:color w:val="auto"/>
        </w:rPr>
      </w:pPr>
      <w:r>
        <w:rPr>
          <w:rFonts w:ascii="Trebuchet MS" w:cs="Trebuchet MS" w:eastAsia="Trebuchet MS" w:hAnsi="Trebuchet MS"/>
          <w:sz w:val="8"/>
          <w:szCs w:val="8"/>
          <w:color w:val="808080"/>
        </w:rPr>
        <w:t>-25.0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48"/>
        </w:trPr>
        <w:tc>
          <w:tcPr>
            <w:tcW w:w="260" w:type="dxa"/>
            <w:vAlign w:val="bottom"/>
            <w:vMerge w:val="restart"/>
          </w:tcPr>
          <w:p>
            <w:pPr>
              <w:jc w:val="right"/>
              <w:ind w:right="40"/>
              <w:spacing w:after="0"/>
              <w:rPr>
                <w:sz w:val="20"/>
                <w:szCs w:val="20"/>
                <w:color w:val="auto"/>
              </w:rPr>
            </w:pPr>
            <w:r>
              <w:rPr>
                <w:rFonts w:ascii="Trebuchet MS" w:cs="Trebuchet MS" w:eastAsia="Trebuchet MS" w:hAnsi="Trebuchet MS"/>
                <w:sz w:val="8"/>
                <w:szCs w:val="8"/>
                <w:color w:val="808080"/>
                <w:w w:val="86"/>
              </w:rPr>
              <w:t>-30.0</w:t>
            </w:r>
          </w:p>
        </w:tc>
        <w:tc>
          <w:tcPr>
            <w:tcW w:w="12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24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34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160" w:type="dxa"/>
            <w:vAlign w:val="bottom"/>
            <w:tcBorders>
              <w:bottom w:val="single" w:sz="8" w:color="D9D9D9"/>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vMerge w:val="restart"/>
          </w:tcPr>
          <w:p>
            <w:pPr>
              <w:jc w:val="center"/>
              <w:spacing w:after="0"/>
              <w:rPr>
                <w:sz w:val="20"/>
                <w:szCs w:val="20"/>
                <w:color w:val="auto"/>
              </w:rPr>
            </w:pPr>
            <w:r>
              <w:rPr>
                <w:rFonts w:ascii="Trebuchet MS" w:cs="Trebuchet MS" w:eastAsia="Trebuchet MS" w:hAnsi="Trebuchet MS"/>
                <w:sz w:val="11"/>
                <w:szCs w:val="11"/>
                <w:color w:val="000017"/>
                <w:w w:val="95"/>
              </w:rPr>
              <w:t>EAR</w:t>
            </w: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vMerge w:val="restart"/>
          </w:tcPr>
          <w:p>
            <w:pPr>
              <w:jc w:val="right"/>
              <w:spacing w:after="0"/>
              <w:rPr>
                <w:sz w:val="20"/>
                <w:szCs w:val="20"/>
                <w:color w:val="auto"/>
              </w:rPr>
            </w:pPr>
            <w:r>
              <w:rPr>
                <w:rFonts w:ascii="Trebuchet MS" w:cs="Trebuchet MS" w:eastAsia="Trebuchet MS" w:hAnsi="Trebuchet MS"/>
                <w:sz w:val="11"/>
                <w:szCs w:val="11"/>
                <w:color w:val="000017"/>
              </w:rPr>
              <w:t>LAR</w:t>
            </w: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60" w:type="dxa"/>
            <w:vAlign w:val="bottom"/>
            <w:vMerge w:val="restart"/>
          </w:tcPr>
          <w:p>
            <w:pPr>
              <w:jc w:val="right"/>
              <w:ind w:right="40"/>
              <w:spacing w:after="0"/>
              <w:rPr>
                <w:sz w:val="20"/>
                <w:szCs w:val="20"/>
                <w:color w:val="auto"/>
              </w:rPr>
            </w:pPr>
            <w:r>
              <w:rPr>
                <w:rFonts w:ascii="Trebuchet MS" w:cs="Trebuchet MS" w:eastAsia="Trebuchet MS" w:hAnsi="Trebuchet MS"/>
                <w:sz w:val="8"/>
                <w:szCs w:val="8"/>
                <w:color w:val="808080"/>
                <w:w w:val="86"/>
              </w:rPr>
              <w:t>-35.0</w:t>
            </w:r>
          </w:p>
        </w:tc>
        <w:tc>
          <w:tcPr>
            <w:tcW w:w="12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24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2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340" w:type="dxa"/>
            <w:vAlign w:val="bottom"/>
            <w:tcBorders>
              <w:bottom w:val="single" w:sz="8" w:color="D9D9D9"/>
            </w:tcBorders>
          </w:tcPr>
          <w:p>
            <w:pPr>
              <w:spacing w:after="0"/>
              <w:rPr>
                <w:sz w:val="4"/>
                <w:szCs w:val="4"/>
                <w:color w:val="auto"/>
              </w:rPr>
            </w:pPr>
          </w:p>
        </w:tc>
        <w:tc>
          <w:tcPr>
            <w:tcW w:w="18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160" w:type="dxa"/>
            <w:vAlign w:val="bottom"/>
            <w:tcBorders>
              <w:bottom w:val="single" w:sz="8" w:color="D9D9D9"/>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6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380" w:type="dxa"/>
            <w:vAlign w:val="bottom"/>
            <w:gridSpan w:val="2"/>
          </w:tcPr>
          <w:p>
            <w:pPr>
              <w:jc w:val="right"/>
              <w:ind w:right="100"/>
              <w:spacing w:after="0"/>
              <w:rPr>
                <w:sz w:val="20"/>
                <w:szCs w:val="20"/>
                <w:color w:val="auto"/>
              </w:rPr>
            </w:pPr>
            <w:r>
              <w:rPr>
                <w:rFonts w:ascii="Trebuchet MS" w:cs="Trebuchet MS" w:eastAsia="Trebuchet MS" w:hAnsi="Trebuchet MS"/>
                <w:sz w:val="8"/>
                <w:szCs w:val="8"/>
                <w:color w:val="808080"/>
              </w:rPr>
              <w:t>0</w:t>
            </w:r>
          </w:p>
        </w:tc>
        <w:tc>
          <w:tcPr>
            <w:tcW w:w="260" w:type="dxa"/>
            <w:vAlign w:val="bottom"/>
          </w:tcPr>
          <w:p>
            <w:pPr>
              <w:jc w:val="right"/>
              <w:ind w:right="15"/>
              <w:spacing w:after="0"/>
              <w:rPr>
                <w:sz w:val="20"/>
                <w:szCs w:val="20"/>
                <w:color w:val="auto"/>
              </w:rPr>
            </w:pPr>
            <w:r>
              <w:rPr>
                <w:rFonts w:ascii="Trebuchet MS" w:cs="Trebuchet MS" w:eastAsia="Trebuchet MS" w:hAnsi="Trebuchet MS"/>
                <w:sz w:val="8"/>
                <w:szCs w:val="8"/>
                <w:color w:val="808080"/>
              </w:rPr>
              <w:t>30</w:t>
            </w:r>
          </w:p>
        </w:tc>
        <w:tc>
          <w:tcPr>
            <w:tcW w:w="320" w:type="dxa"/>
            <w:vAlign w:val="bottom"/>
          </w:tcPr>
          <w:p>
            <w:pPr>
              <w:jc w:val="right"/>
              <w:ind w:right="73"/>
              <w:spacing w:after="0"/>
              <w:rPr>
                <w:sz w:val="20"/>
                <w:szCs w:val="20"/>
                <w:color w:val="auto"/>
              </w:rPr>
            </w:pPr>
            <w:r>
              <w:rPr>
                <w:rFonts w:ascii="Trebuchet MS" w:cs="Trebuchet MS" w:eastAsia="Trebuchet MS" w:hAnsi="Trebuchet MS"/>
                <w:sz w:val="8"/>
                <w:szCs w:val="8"/>
                <w:color w:val="808080"/>
              </w:rPr>
              <w:t>60</w:t>
            </w:r>
          </w:p>
        </w:tc>
        <w:tc>
          <w:tcPr>
            <w:tcW w:w="240" w:type="dxa"/>
            <w:vAlign w:val="bottom"/>
          </w:tcPr>
          <w:p>
            <w:pPr>
              <w:jc w:val="right"/>
              <w:ind w:right="40"/>
              <w:spacing w:after="0"/>
              <w:rPr>
                <w:sz w:val="20"/>
                <w:szCs w:val="20"/>
                <w:color w:val="auto"/>
              </w:rPr>
            </w:pPr>
            <w:r>
              <w:rPr>
                <w:rFonts w:ascii="Trebuchet MS" w:cs="Trebuchet MS" w:eastAsia="Trebuchet MS" w:hAnsi="Trebuchet MS"/>
                <w:sz w:val="8"/>
                <w:szCs w:val="8"/>
                <w:color w:val="808080"/>
              </w:rPr>
              <w:t>90</w:t>
            </w:r>
          </w:p>
        </w:tc>
        <w:tc>
          <w:tcPr>
            <w:tcW w:w="280" w:type="dxa"/>
            <w:vAlign w:val="bottom"/>
          </w:tcPr>
          <w:p>
            <w:pPr>
              <w:jc w:val="right"/>
              <w:ind w:right="35"/>
              <w:spacing w:after="0"/>
              <w:rPr>
                <w:sz w:val="20"/>
                <w:szCs w:val="20"/>
                <w:color w:val="auto"/>
              </w:rPr>
            </w:pPr>
            <w:r>
              <w:rPr>
                <w:rFonts w:ascii="Trebuchet MS" w:cs="Trebuchet MS" w:eastAsia="Trebuchet MS" w:hAnsi="Trebuchet MS"/>
                <w:sz w:val="8"/>
                <w:szCs w:val="8"/>
                <w:color w:val="808080"/>
              </w:rPr>
              <w:t>120</w:t>
            </w:r>
          </w:p>
        </w:tc>
        <w:tc>
          <w:tcPr>
            <w:tcW w:w="220" w:type="dxa"/>
            <w:vAlign w:val="bottom"/>
          </w:tcPr>
          <w:p>
            <w:pPr>
              <w:jc w:val="right"/>
              <w:spacing w:after="0"/>
              <w:rPr>
                <w:sz w:val="20"/>
                <w:szCs w:val="20"/>
                <w:color w:val="auto"/>
              </w:rPr>
            </w:pPr>
            <w:r>
              <w:rPr>
                <w:rFonts w:ascii="Trebuchet MS" w:cs="Trebuchet MS" w:eastAsia="Trebuchet MS" w:hAnsi="Trebuchet MS"/>
                <w:sz w:val="8"/>
                <w:szCs w:val="8"/>
                <w:color w:val="808080"/>
              </w:rPr>
              <w:t>150</w:t>
            </w:r>
          </w:p>
        </w:tc>
        <w:tc>
          <w:tcPr>
            <w:tcW w:w="320" w:type="dxa"/>
            <w:vAlign w:val="bottom"/>
          </w:tcPr>
          <w:p>
            <w:pPr>
              <w:jc w:val="right"/>
              <w:ind w:right="35"/>
              <w:spacing w:after="0"/>
              <w:rPr>
                <w:sz w:val="20"/>
                <w:szCs w:val="20"/>
                <w:color w:val="auto"/>
              </w:rPr>
            </w:pPr>
            <w:r>
              <w:rPr>
                <w:rFonts w:ascii="Trebuchet MS" w:cs="Trebuchet MS" w:eastAsia="Trebuchet MS" w:hAnsi="Trebuchet MS"/>
                <w:sz w:val="8"/>
                <w:szCs w:val="8"/>
                <w:color w:val="808080"/>
              </w:rPr>
              <w:t>180</w:t>
            </w:r>
          </w:p>
        </w:tc>
        <w:tc>
          <w:tcPr>
            <w:tcW w:w="260" w:type="dxa"/>
            <w:vAlign w:val="bottom"/>
          </w:tcPr>
          <w:p>
            <w:pPr>
              <w:jc w:val="right"/>
              <w:ind w:right="20"/>
              <w:spacing w:after="0"/>
              <w:rPr>
                <w:sz w:val="20"/>
                <w:szCs w:val="20"/>
                <w:color w:val="auto"/>
              </w:rPr>
            </w:pPr>
            <w:r>
              <w:rPr>
                <w:rFonts w:ascii="Trebuchet MS" w:cs="Trebuchet MS" w:eastAsia="Trebuchet MS" w:hAnsi="Trebuchet MS"/>
                <w:sz w:val="8"/>
                <w:szCs w:val="8"/>
                <w:color w:val="808080"/>
              </w:rPr>
              <w:t>210</w:t>
            </w:r>
          </w:p>
        </w:tc>
        <w:tc>
          <w:tcPr>
            <w:tcW w:w="280" w:type="dxa"/>
            <w:vAlign w:val="bottom"/>
          </w:tcPr>
          <w:p>
            <w:pPr>
              <w:jc w:val="right"/>
              <w:ind w:right="40"/>
              <w:spacing w:after="0"/>
              <w:rPr>
                <w:sz w:val="20"/>
                <w:szCs w:val="20"/>
                <w:color w:val="auto"/>
              </w:rPr>
            </w:pPr>
            <w:r>
              <w:rPr>
                <w:rFonts w:ascii="Trebuchet MS" w:cs="Trebuchet MS" w:eastAsia="Trebuchet MS" w:hAnsi="Trebuchet MS"/>
                <w:sz w:val="8"/>
                <w:szCs w:val="8"/>
                <w:color w:val="808080"/>
              </w:rPr>
              <w:t>240</w:t>
            </w:r>
          </w:p>
        </w:tc>
        <w:tc>
          <w:tcPr>
            <w:tcW w:w="340" w:type="dxa"/>
            <w:vAlign w:val="bottom"/>
          </w:tcPr>
          <w:p>
            <w:pPr>
              <w:jc w:val="right"/>
              <w:ind w:right="113"/>
              <w:spacing w:after="0"/>
              <w:rPr>
                <w:sz w:val="20"/>
                <w:szCs w:val="20"/>
                <w:color w:val="auto"/>
              </w:rPr>
            </w:pPr>
            <w:r>
              <w:rPr>
                <w:rFonts w:ascii="Trebuchet MS" w:cs="Trebuchet MS" w:eastAsia="Trebuchet MS" w:hAnsi="Trebuchet MS"/>
                <w:sz w:val="8"/>
                <w:szCs w:val="8"/>
                <w:color w:val="808080"/>
              </w:rPr>
              <w:t>270</w:t>
            </w:r>
          </w:p>
        </w:tc>
        <w:tc>
          <w:tcPr>
            <w:tcW w:w="180" w:type="dxa"/>
            <w:vAlign w:val="bottom"/>
          </w:tcPr>
          <w:p>
            <w:pPr>
              <w:spacing w:after="0"/>
              <w:rPr>
                <w:sz w:val="20"/>
                <w:szCs w:val="20"/>
                <w:color w:val="auto"/>
              </w:rPr>
            </w:pPr>
            <w:r>
              <w:rPr>
                <w:rFonts w:ascii="Trebuchet MS" w:cs="Trebuchet MS" w:eastAsia="Trebuchet MS" w:hAnsi="Trebuchet MS"/>
                <w:sz w:val="8"/>
                <w:szCs w:val="8"/>
                <w:color w:val="808080"/>
              </w:rPr>
              <w:t>300</w:t>
            </w:r>
          </w:p>
        </w:tc>
        <w:tc>
          <w:tcPr>
            <w:tcW w:w="280" w:type="dxa"/>
            <w:vAlign w:val="bottom"/>
          </w:tcPr>
          <w:p>
            <w:pPr>
              <w:jc w:val="right"/>
              <w:ind w:right="40"/>
              <w:spacing w:after="0"/>
              <w:rPr>
                <w:sz w:val="20"/>
                <w:szCs w:val="20"/>
                <w:color w:val="auto"/>
              </w:rPr>
            </w:pPr>
            <w:r>
              <w:rPr>
                <w:rFonts w:ascii="Trebuchet MS" w:cs="Trebuchet MS" w:eastAsia="Trebuchet MS" w:hAnsi="Trebuchet MS"/>
                <w:sz w:val="8"/>
                <w:szCs w:val="8"/>
                <w:color w:val="808080"/>
              </w:rPr>
              <w:t>330</w:t>
            </w:r>
          </w:p>
        </w:tc>
        <w:tc>
          <w:tcPr>
            <w:tcW w:w="260" w:type="dxa"/>
            <w:vAlign w:val="bottom"/>
          </w:tcPr>
          <w:p>
            <w:pPr>
              <w:jc w:val="right"/>
              <w:ind w:right="20"/>
              <w:spacing w:after="0"/>
              <w:rPr>
                <w:sz w:val="20"/>
                <w:szCs w:val="20"/>
                <w:color w:val="auto"/>
              </w:rPr>
            </w:pPr>
            <w:r>
              <w:rPr>
                <w:rFonts w:ascii="Trebuchet MS" w:cs="Trebuchet MS" w:eastAsia="Trebuchet MS" w:hAnsi="Trebuchet MS"/>
                <w:sz w:val="8"/>
                <w:szCs w:val="8"/>
                <w:color w:val="808080"/>
              </w:rPr>
              <w:t>360</w:t>
            </w:r>
          </w:p>
        </w:tc>
        <w:tc>
          <w:tcPr>
            <w:tcW w:w="260" w:type="dxa"/>
            <w:vAlign w:val="bottom"/>
          </w:tcPr>
          <w:p>
            <w:pPr>
              <w:jc w:val="right"/>
              <w:ind w:right="20"/>
              <w:spacing w:after="0"/>
              <w:rPr>
                <w:sz w:val="20"/>
                <w:szCs w:val="20"/>
                <w:color w:val="auto"/>
              </w:rPr>
            </w:pPr>
            <w:r>
              <w:rPr>
                <w:rFonts w:ascii="Trebuchet MS" w:cs="Trebuchet MS" w:eastAsia="Trebuchet MS" w:hAnsi="Trebuchet MS"/>
                <w:sz w:val="8"/>
                <w:szCs w:val="8"/>
                <w:color w:val="808080"/>
              </w:rPr>
              <w:t>390</w:t>
            </w:r>
          </w:p>
        </w:tc>
        <w:tc>
          <w:tcPr>
            <w:tcW w:w="200" w:type="dxa"/>
            <w:vAlign w:val="bottom"/>
            <w:gridSpan w:val="2"/>
          </w:tcPr>
          <w:p>
            <w:pPr>
              <w:jc w:val="right"/>
              <w:spacing w:after="0"/>
              <w:rPr>
                <w:sz w:val="20"/>
                <w:szCs w:val="20"/>
                <w:color w:val="auto"/>
              </w:rPr>
            </w:pPr>
            <w:r>
              <w:rPr>
                <w:rFonts w:ascii="Trebuchet MS" w:cs="Trebuchet MS" w:eastAsia="Trebuchet MS" w:hAnsi="Trebuchet MS"/>
                <w:sz w:val="8"/>
                <w:szCs w:val="8"/>
                <w:color w:val="808080"/>
              </w:rPr>
              <w:t>420</w:t>
            </w: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6"/>
          </w:tcPr>
          <w:p>
            <w:pPr>
              <w:jc w:val="right"/>
              <w:ind w:right="73"/>
              <w:spacing w:after="0"/>
              <w:rPr>
                <w:sz w:val="20"/>
                <w:szCs w:val="20"/>
                <w:color w:val="auto"/>
              </w:rPr>
            </w:pPr>
            <w:r>
              <w:rPr>
                <w:rFonts w:ascii="Trebuchet MS" w:cs="Trebuchet MS" w:eastAsia="Trebuchet MS" w:hAnsi="Trebuchet MS"/>
                <w:sz w:val="10"/>
                <w:szCs w:val="10"/>
                <w:color w:val="00001B"/>
              </w:rPr>
              <w:t>Minutes Post-Allergen Challenge</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4"/>
          </w:tcPr>
          <w:p>
            <w:pPr>
              <w:jc w:val="right"/>
              <w:ind w:right="115"/>
              <w:spacing w:after="0"/>
              <w:rPr>
                <w:sz w:val="20"/>
                <w:szCs w:val="20"/>
                <w:color w:val="auto"/>
              </w:rPr>
            </w:pPr>
            <w:r>
              <w:rPr>
                <w:rFonts w:ascii="Trebuchet MS" w:cs="Trebuchet MS" w:eastAsia="Trebuchet MS" w:hAnsi="Trebuchet MS"/>
                <w:sz w:val="10"/>
                <w:szCs w:val="10"/>
                <w:color w:val="00001B"/>
              </w:rPr>
              <w:t>Pre-Dose Challenge</w:t>
            </w:r>
          </w:p>
        </w:tc>
        <w:tc>
          <w:tcPr>
            <w:tcW w:w="22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rebuchet MS" w:cs="Trebuchet MS" w:eastAsia="Trebuchet MS" w:hAnsi="Trebuchet MS"/>
                <w:sz w:val="10"/>
                <w:szCs w:val="10"/>
                <w:color w:val="00001B"/>
              </w:rPr>
              <w:t>Week 6 Challenge</w:t>
            </w:r>
          </w:p>
        </w:tc>
        <w:tc>
          <w:tcPr>
            <w:tcW w:w="340" w:type="dxa"/>
            <w:vAlign w:val="bottom"/>
          </w:tcPr>
          <w:p>
            <w:pPr>
              <w:spacing w:after="0"/>
              <w:rPr>
                <w:sz w:val="22"/>
                <w:szCs w:val="22"/>
                <w:color w:val="auto"/>
              </w:rPr>
            </w:pPr>
          </w:p>
        </w:tc>
        <w:tc>
          <w:tcPr>
            <w:tcW w:w="980" w:type="dxa"/>
            <w:vAlign w:val="bottom"/>
            <w:gridSpan w:val="4"/>
          </w:tcPr>
          <w:p>
            <w:pPr>
              <w:spacing w:after="0"/>
              <w:rPr>
                <w:sz w:val="20"/>
                <w:szCs w:val="20"/>
                <w:color w:val="auto"/>
              </w:rPr>
            </w:pPr>
            <w:r>
              <w:rPr>
                <w:rFonts w:ascii="Trebuchet MS" w:cs="Trebuchet MS" w:eastAsia="Trebuchet MS" w:hAnsi="Trebuchet MS"/>
                <w:sz w:val="10"/>
                <w:szCs w:val="10"/>
                <w:color w:val="00001B"/>
              </w:rPr>
              <w:t>Week 12 Challenge</w:t>
            </w: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16" w:type="dxa"/>
            <w:vAlign w:val="bottom"/>
            <w:textDirection w:val="btLr"/>
          </w:tcPr>
          <w:p>
            <w:pPr>
              <w:spacing w:after="0"/>
              <w:rPr>
                <w:sz w:val="20"/>
                <w:szCs w:val="20"/>
                <w:color w:val="auto"/>
              </w:rPr>
            </w:pPr>
            <w:r>
              <w:rPr>
                <w:rFonts w:ascii="Trebuchet MS" w:cs="Trebuchet MS" w:eastAsia="Trebuchet MS" w:hAnsi="Trebuchet MS"/>
                <w:sz w:val="10"/>
                <w:szCs w:val="10"/>
                <w:color w:val="00001B"/>
              </w:rPr>
              <w:t>(%)</w:t>
            </w:r>
          </w:p>
        </w:tc>
      </w:tr>
    </w:tbl>
    <w:p>
      <w:pPr>
        <w:spacing w:after="0" w:line="40" w:lineRule="exact"/>
        <w:rPr>
          <w:sz w:val="20"/>
          <w:szCs w:val="20"/>
          <w:color w:val="auto"/>
        </w:rPr>
      </w:pPr>
    </w:p>
    <w:tbl>
      <w:tblPr>
        <w:tblLayout w:type="fixed"/>
        <w:tblInd w:w="69" w:type="dxa"/>
        <w:tblCellMar>
          <w:top w:w="0" w:type="dxa"/>
          <w:left w:w="0" w:type="dxa"/>
          <w:bottom w:w="0" w:type="dxa"/>
          <w:right w:w="0" w:type="dxa"/>
        </w:tblCellMar>
      </w:tblPr>
      <w:tr>
        <w:trPr>
          <w:trHeight w:val="40"/>
        </w:trPr>
        <w:tc>
          <w:tcPr>
            <w:tcW w:w="70" w:type="dxa"/>
            <w:vAlign w:val="bottom"/>
            <w:textDirection w:val="btLr"/>
          </w:tcPr>
          <w:p>
            <w:pPr>
              <w:spacing w:after="0"/>
              <w:rPr>
                <w:sz w:val="20"/>
                <w:szCs w:val="20"/>
                <w:color w:val="auto"/>
              </w:rPr>
            </w:pPr>
            <w:r>
              <w:rPr>
                <w:rFonts w:ascii="Trebuchet MS" w:cs="Trebuchet MS" w:eastAsia="Trebuchet MS" w:hAnsi="Trebuchet MS"/>
                <w:sz w:val="6"/>
                <w:szCs w:val="6"/>
                <w:color w:val="00001B"/>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660"/>
        </w:trPr>
        <w:tc>
          <w:tcPr>
            <w:tcW w:w="116" w:type="dxa"/>
            <w:vAlign w:val="bottom"/>
            <w:textDirection w:val="btLr"/>
          </w:tcPr>
          <w:p>
            <w:pPr>
              <w:spacing w:after="0"/>
              <w:rPr>
                <w:sz w:val="20"/>
                <w:szCs w:val="20"/>
                <w:color w:val="auto"/>
              </w:rPr>
            </w:pPr>
            <w:r>
              <w:rPr>
                <w:rFonts w:ascii="Trebuchet MS" w:cs="Trebuchet MS" w:eastAsia="Trebuchet MS" w:hAnsi="Trebuchet MS"/>
                <w:sz w:val="10"/>
                <w:szCs w:val="10"/>
                <w:color w:val="00001B"/>
              </w:rPr>
              <w:t>Change in FEV</w:t>
            </w:r>
          </w:p>
        </w:tc>
      </w:tr>
    </w:tbl>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1540"/>
        <w:spacing w:after="0"/>
        <w:rPr>
          <w:sz w:val="20"/>
          <w:szCs w:val="20"/>
          <w:color w:val="auto"/>
        </w:rPr>
      </w:pPr>
      <w:r>
        <w:rPr>
          <w:rFonts w:ascii="Trebuchet MS" w:cs="Trebuchet MS" w:eastAsia="Trebuchet MS" w:hAnsi="Trebuchet MS"/>
          <w:sz w:val="17"/>
          <w:szCs w:val="17"/>
          <w:color w:val="00001B"/>
        </w:rPr>
        <w:t>Briquilimab</w:t>
      </w:r>
    </w:p>
    <w:p>
      <w:pPr>
        <w:spacing w:after="0" w:line="60" w:lineRule="exact"/>
        <w:rPr>
          <w:sz w:val="20"/>
          <w:szCs w:val="20"/>
          <w:color w:val="auto"/>
        </w:rPr>
      </w:pPr>
    </w:p>
    <w:p>
      <w:pPr>
        <w:ind w:left="80"/>
        <w:spacing w:after="0"/>
        <w:rPr>
          <w:sz w:val="20"/>
          <w:szCs w:val="20"/>
          <w:color w:val="auto"/>
        </w:rPr>
      </w:pPr>
      <w:r>
        <w:rPr>
          <w:rFonts w:ascii="Trebuchet MS" w:cs="Trebuchet MS" w:eastAsia="Trebuchet MS" w:hAnsi="Trebuchet MS"/>
          <w:sz w:val="8"/>
          <w:szCs w:val="8"/>
          <w:color w:val="808080"/>
        </w:rPr>
        <w:t xml:space="preserve">0.0 </w:t>
      </w:r>
      <w:r>
        <w:rPr>
          <w:sz w:val="1"/>
          <w:szCs w:val="1"/>
          <w:color w:val="auto"/>
        </w:rPr>
        <w:drawing>
          <wp:inline distT="0" distB="0" distL="0" distR="0">
            <wp:extent cx="193040" cy="920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extLst>
                    </a:blip>
                    <a:srcRect/>
                    <a:stretch>
                      <a:fillRect/>
                    </a:stretch>
                  </pic:blipFill>
                  <pic:spPr bwMode="auto">
                    <a:xfrm>
                      <a:off x="0" y="0"/>
                      <a:ext cx="193040" cy="92075"/>
                    </a:xfrm>
                    <a:prstGeom prst="rect">
                      <a:avLst/>
                    </a:prstGeom>
                    <a:noFill/>
                    <a:ln>
                      <a:noFill/>
                    </a:ln>
                  </pic:spPr>
                </pic:pic>
              </a:graphicData>
            </a:graphic>
          </wp:inline>
        </w:drawing>
        <w:drawing>
          <wp:inline distT="0" distB="0" distL="0" distR="0">
            <wp:extent cx="171450" cy="1714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extLst>
                    </a:blip>
                    <a:srcRect/>
                    <a:stretch>
                      <a:fillRect/>
                    </a:stretch>
                  </pic:blipFill>
                  <pic:spPr bwMode="auto">
                    <a:xfrm>
                      <a:off x="0" y="0"/>
                      <a:ext cx="171450" cy="17145"/>
                    </a:xfrm>
                    <a:prstGeom prst="rect">
                      <a:avLst/>
                    </a:prstGeom>
                    <a:noFill/>
                    <a:ln>
                      <a:noFill/>
                    </a:ln>
                  </pic:spPr>
                </pic:pic>
              </a:graphicData>
            </a:graphic>
          </wp:inline>
        </w:drawing>
        <w:drawing>
          <wp:inline distT="0" distB="0" distL="0" distR="0">
            <wp:extent cx="168910" cy="1714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extLst>
                    </a:blip>
                    <a:srcRect/>
                    <a:stretch>
                      <a:fillRect/>
                    </a:stretch>
                  </pic:blipFill>
                  <pic:spPr bwMode="auto">
                    <a:xfrm>
                      <a:off x="0" y="0"/>
                      <a:ext cx="168910" cy="17145"/>
                    </a:xfrm>
                    <a:prstGeom prst="rect">
                      <a:avLst/>
                    </a:prstGeom>
                    <a:noFill/>
                    <a:ln>
                      <a:noFill/>
                    </a:ln>
                  </pic:spPr>
                </pic:pic>
              </a:graphicData>
            </a:graphic>
          </wp:inline>
        </w:drawing>
        <w:drawing>
          <wp:inline distT="0" distB="0" distL="0" distR="0">
            <wp:extent cx="170815" cy="1714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a:extLst>
                        <a:ext uri="{28A0092B-C50C-407E-A947-70E740481C1C}"/>
                      </a:extLst>
                    </a:blip>
                    <a:srcRect/>
                    <a:stretch>
                      <a:fillRect/>
                    </a:stretch>
                  </pic:blipFill>
                  <pic:spPr bwMode="auto">
                    <a:xfrm>
                      <a:off x="0" y="0"/>
                      <a:ext cx="170815" cy="17145"/>
                    </a:xfrm>
                    <a:prstGeom prst="rect">
                      <a:avLst/>
                    </a:prstGeom>
                    <a:noFill/>
                    <a:ln>
                      <a:noFill/>
                    </a:ln>
                  </pic:spPr>
                </pic:pic>
              </a:graphicData>
            </a:graphic>
          </wp:inline>
        </w:drawing>
        <w:drawing>
          <wp:inline distT="0" distB="0" distL="0" distR="0">
            <wp:extent cx="6350" cy="1714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extLst>
                    </a:blip>
                    <a:srcRect/>
                    <a:stretch>
                      <a:fillRect/>
                    </a:stretch>
                  </pic:blipFill>
                  <pic:spPr bwMode="auto">
                    <a:xfrm>
                      <a:off x="0" y="0"/>
                      <a:ext cx="6350" cy="17145"/>
                    </a:xfrm>
                    <a:prstGeom prst="rect">
                      <a:avLst/>
                    </a:prstGeom>
                    <a:noFill/>
                    <a:ln>
                      <a:noFill/>
                    </a:ln>
                  </pic:spPr>
                </pic:pic>
              </a:graphicData>
            </a:graphic>
          </wp:inline>
        </w:drawing>
      </w:r>
    </w:p>
    <w:p>
      <w:pPr>
        <w:spacing w:after="0" w:line="103" w:lineRule="exact"/>
        <w:rPr>
          <w:sz w:val="20"/>
          <w:szCs w:val="20"/>
          <w:color w:val="auto"/>
        </w:rPr>
      </w:pPr>
    </w:p>
    <w:p>
      <w:pPr>
        <w:ind w:left="40"/>
        <w:spacing w:after="0"/>
        <w:rPr>
          <w:sz w:val="20"/>
          <w:szCs w:val="20"/>
          <w:color w:val="auto"/>
        </w:rPr>
      </w:pPr>
      <w:r>
        <w:rPr>
          <w:rFonts w:ascii="Trebuchet MS" w:cs="Trebuchet MS" w:eastAsia="Trebuchet MS" w:hAnsi="Trebuchet MS"/>
          <w:sz w:val="8"/>
          <w:szCs w:val="8"/>
          <w:color w:val="808080"/>
        </w:rPr>
        <w:t>-5.0</w:t>
      </w:r>
    </w:p>
    <w:p>
      <w:pPr>
        <w:spacing w:after="0" w:line="151" w:lineRule="exact"/>
        <w:rPr>
          <w:sz w:val="20"/>
          <w:szCs w:val="20"/>
          <w:color w:val="auto"/>
        </w:rPr>
      </w:pPr>
    </w:p>
    <w:p>
      <w:pPr>
        <w:spacing w:after="0"/>
        <w:rPr>
          <w:sz w:val="20"/>
          <w:szCs w:val="20"/>
          <w:color w:val="auto"/>
        </w:rPr>
      </w:pPr>
      <w:r>
        <w:rPr>
          <w:rFonts w:ascii="Trebuchet MS" w:cs="Trebuchet MS" w:eastAsia="Trebuchet MS" w:hAnsi="Trebuchet MS"/>
          <w:sz w:val="8"/>
          <w:szCs w:val="8"/>
          <w:color w:val="808080"/>
        </w:rPr>
        <w:t>-10.0</w:t>
      </w:r>
    </w:p>
    <w:p>
      <w:pPr>
        <w:spacing w:after="0" w:line="151" w:lineRule="exact"/>
        <w:rPr>
          <w:sz w:val="20"/>
          <w:szCs w:val="20"/>
          <w:color w:val="auto"/>
        </w:rPr>
      </w:pPr>
    </w:p>
    <w:p>
      <w:pPr>
        <w:spacing w:after="0"/>
        <w:rPr>
          <w:sz w:val="20"/>
          <w:szCs w:val="20"/>
          <w:color w:val="auto"/>
        </w:rPr>
      </w:pPr>
      <w:r>
        <w:rPr>
          <w:rFonts w:ascii="Trebuchet MS" w:cs="Trebuchet MS" w:eastAsia="Trebuchet MS" w:hAnsi="Trebuchet MS"/>
          <w:sz w:val="8"/>
          <w:szCs w:val="8"/>
          <w:color w:val="808080"/>
        </w:rPr>
        <w:t>-15.0</w:t>
      </w:r>
    </w:p>
    <w:p>
      <w:pPr>
        <w:spacing w:after="0" w:line="151" w:lineRule="exact"/>
        <w:rPr>
          <w:sz w:val="20"/>
          <w:szCs w:val="20"/>
          <w:color w:val="auto"/>
        </w:rPr>
      </w:pPr>
    </w:p>
    <w:p>
      <w:pPr>
        <w:spacing w:after="0"/>
        <w:rPr>
          <w:sz w:val="20"/>
          <w:szCs w:val="20"/>
          <w:color w:val="auto"/>
        </w:rPr>
      </w:pPr>
      <w:r>
        <w:rPr>
          <w:rFonts w:ascii="Trebuchet MS" w:cs="Trebuchet MS" w:eastAsia="Trebuchet MS" w:hAnsi="Trebuchet MS"/>
          <w:sz w:val="8"/>
          <w:szCs w:val="8"/>
          <w:color w:val="808080"/>
        </w:rPr>
        <w:t>-20.0</w:t>
      </w:r>
    </w:p>
    <w:p>
      <w:pPr>
        <w:spacing w:after="0" w:line="151" w:lineRule="exact"/>
        <w:rPr>
          <w:sz w:val="20"/>
          <w:szCs w:val="20"/>
          <w:color w:val="auto"/>
        </w:rPr>
      </w:pPr>
    </w:p>
    <w:p>
      <w:pPr>
        <w:spacing w:after="0"/>
        <w:rPr>
          <w:sz w:val="20"/>
          <w:szCs w:val="20"/>
          <w:color w:val="auto"/>
        </w:rPr>
      </w:pPr>
      <w:r>
        <w:rPr>
          <w:rFonts w:ascii="Trebuchet MS" w:cs="Trebuchet MS" w:eastAsia="Trebuchet MS" w:hAnsi="Trebuchet MS"/>
          <w:sz w:val="8"/>
          <w:szCs w:val="8"/>
          <w:color w:val="808080"/>
        </w:rPr>
        <w:t>-25.0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48"/>
        </w:trPr>
        <w:tc>
          <w:tcPr>
            <w:tcW w:w="260" w:type="dxa"/>
            <w:vAlign w:val="bottom"/>
            <w:vMerge w:val="restart"/>
          </w:tcPr>
          <w:p>
            <w:pPr>
              <w:jc w:val="right"/>
              <w:ind w:right="40"/>
              <w:spacing w:after="0"/>
              <w:rPr>
                <w:sz w:val="20"/>
                <w:szCs w:val="20"/>
                <w:color w:val="auto"/>
              </w:rPr>
            </w:pPr>
            <w:r>
              <w:rPr>
                <w:rFonts w:ascii="Trebuchet MS" w:cs="Trebuchet MS" w:eastAsia="Trebuchet MS" w:hAnsi="Trebuchet MS"/>
                <w:sz w:val="8"/>
                <w:szCs w:val="8"/>
                <w:color w:val="808080"/>
                <w:w w:val="86"/>
              </w:rPr>
              <w:t>-30.0</w:t>
            </w:r>
          </w:p>
        </w:tc>
        <w:tc>
          <w:tcPr>
            <w:tcW w:w="140" w:type="dxa"/>
            <w:vAlign w:val="bottom"/>
            <w:tcBorders>
              <w:bottom w:val="single" w:sz="8" w:color="D9D9D9"/>
            </w:tcBorders>
          </w:tcPr>
          <w:p>
            <w:pPr>
              <w:spacing w:after="0"/>
              <w:rPr>
                <w:sz w:val="4"/>
                <w:szCs w:val="4"/>
                <w:color w:val="auto"/>
              </w:rPr>
            </w:pPr>
          </w:p>
        </w:tc>
        <w:tc>
          <w:tcPr>
            <w:tcW w:w="24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24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160" w:type="dxa"/>
            <w:vAlign w:val="bottom"/>
            <w:tcBorders>
              <w:bottom w:val="single" w:sz="8" w:color="D9D9D9"/>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vMerge w:val="restart"/>
          </w:tcPr>
          <w:p>
            <w:pPr>
              <w:jc w:val="center"/>
              <w:spacing w:after="0"/>
              <w:rPr>
                <w:sz w:val="20"/>
                <w:szCs w:val="20"/>
                <w:color w:val="auto"/>
              </w:rPr>
            </w:pPr>
            <w:r>
              <w:rPr>
                <w:rFonts w:ascii="Trebuchet MS" w:cs="Trebuchet MS" w:eastAsia="Trebuchet MS" w:hAnsi="Trebuchet MS"/>
                <w:sz w:val="11"/>
                <w:szCs w:val="11"/>
                <w:color w:val="000017"/>
                <w:w w:val="95"/>
              </w:rPr>
              <w:t>EAR</w:t>
            </w: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gridSpan w:val="2"/>
            <w:vMerge w:val="restart"/>
          </w:tcPr>
          <w:p>
            <w:pPr>
              <w:jc w:val="right"/>
              <w:ind w:right="140"/>
              <w:spacing w:after="0"/>
              <w:rPr>
                <w:sz w:val="20"/>
                <w:szCs w:val="20"/>
                <w:color w:val="auto"/>
              </w:rPr>
            </w:pPr>
            <w:r>
              <w:rPr>
                <w:rFonts w:ascii="Trebuchet MS" w:cs="Trebuchet MS" w:eastAsia="Trebuchet MS" w:hAnsi="Trebuchet MS"/>
                <w:sz w:val="11"/>
                <w:szCs w:val="11"/>
                <w:color w:val="000017"/>
              </w:rPr>
              <w:t>LAR</w:t>
            </w: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60" w:type="dxa"/>
            <w:vAlign w:val="bottom"/>
            <w:vMerge w:val="restart"/>
          </w:tcPr>
          <w:p>
            <w:pPr>
              <w:jc w:val="right"/>
              <w:ind w:right="40"/>
              <w:spacing w:after="0"/>
              <w:rPr>
                <w:sz w:val="20"/>
                <w:szCs w:val="20"/>
                <w:color w:val="auto"/>
              </w:rPr>
            </w:pPr>
            <w:r>
              <w:rPr>
                <w:rFonts w:ascii="Trebuchet MS" w:cs="Trebuchet MS" w:eastAsia="Trebuchet MS" w:hAnsi="Trebuchet MS"/>
                <w:sz w:val="8"/>
                <w:szCs w:val="8"/>
                <w:color w:val="808080"/>
                <w:w w:val="86"/>
              </w:rPr>
              <w:t>-35.0</w:t>
            </w:r>
          </w:p>
        </w:tc>
        <w:tc>
          <w:tcPr>
            <w:tcW w:w="140" w:type="dxa"/>
            <w:vAlign w:val="bottom"/>
            <w:tcBorders>
              <w:bottom w:val="single" w:sz="8" w:color="D9D9D9"/>
            </w:tcBorders>
          </w:tcPr>
          <w:p>
            <w:pPr>
              <w:spacing w:after="0"/>
              <w:rPr>
                <w:sz w:val="4"/>
                <w:szCs w:val="4"/>
                <w:color w:val="auto"/>
              </w:rPr>
            </w:pPr>
          </w:p>
        </w:tc>
        <w:tc>
          <w:tcPr>
            <w:tcW w:w="240" w:type="dxa"/>
            <w:vAlign w:val="bottom"/>
            <w:tcBorders>
              <w:bottom w:val="single" w:sz="8" w:color="D9D9D9"/>
            </w:tcBorders>
          </w:tcPr>
          <w:p>
            <w:pPr>
              <w:spacing w:after="0"/>
              <w:rPr>
                <w:sz w:val="4"/>
                <w:szCs w:val="4"/>
                <w:color w:val="auto"/>
              </w:rPr>
            </w:pPr>
          </w:p>
        </w:tc>
        <w:tc>
          <w:tcPr>
            <w:tcW w:w="320" w:type="dxa"/>
            <w:vAlign w:val="bottom"/>
            <w:tcBorders>
              <w:bottom w:val="single" w:sz="8" w:color="D9D9D9"/>
            </w:tcBorders>
          </w:tcPr>
          <w:p>
            <w:pPr>
              <w:spacing w:after="0"/>
              <w:rPr>
                <w:sz w:val="4"/>
                <w:szCs w:val="4"/>
                <w:color w:val="auto"/>
              </w:rPr>
            </w:pPr>
          </w:p>
        </w:tc>
        <w:tc>
          <w:tcPr>
            <w:tcW w:w="24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8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260" w:type="dxa"/>
            <w:vAlign w:val="bottom"/>
            <w:tcBorders>
              <w:bottom w:val="single" w:sz="8" w:color="D9D9D9"/>
            </w:tcBorders>
          </w:tcPr>
          <w:p>
            <w:pPr>
              <w:spacing w:after="0"/>
              <w:rPr>
                <w:sz w:val="4"/>
                <w:szCs w:val="4"/>
                <w:color w:val="auto"/>
              </w:rPr>
            </w:pPr>
          </w:p>
        </w:tc>
        <w:tc>
          <w:tcPr>
            <w:tcW w:w="160" w:type="dxa"/>
            <w:vAlign w:val="bottom"/>
            <w:tcBorders>
              <w:bottom w:val="single" w:sz="8" w:color="D9D9D9"/>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1"/>
        </w:trPr>
        <w:tc>
          <w:tcPr>
            <w:tcW w:w="400" w:type="dxa"/>
            <w:vAlign w:val="bottom"/>
            <w:gridSpan w:val="2"/>
          </w:tcPr>
          <w:p>
            <w:pPr>
              <w:jc w:val="right"/>
              <w:ind w:right="100"/>
              <w:spacing w:after="0"/>
              <w:rPr>
                <w:sz w:val="20"/>
                <w:szCs w:val="20"/>
                <w:color w:val="auto"/>
              </w:rPr>
            </w:pPr>
            <w:r>
              <w:rPr>
                <w:rFonts w:ascii="Trebuchet MS" w:cs="Trebuchet MS" w:eastAsia="Trebuchet MS" w:hAnsi="Trebuchet MS"/>
                <w:sz w:val="8"/>
                <w:szCs w:val="8"/>
                <w:color w:val="808080"/>
              </w:rPr>
              <w:t>0</w:t>
            </w:r>
          </w:p>
        </w:tc>
        <w:tc>
          <w:tcPr>
            <w:tcW w:w="240" w:type="dxa"/>
            <w:vAlign w:val="bottom"/>
          </w:tcPr>
          <w:p>
            <w:pPr>
              <w:jc w:val="right"/>
              <w:ind w:right="20"/>
              <w:spacing w:after="0"/>
              <w:rPr>
                <w:sz w:val="20"/>
                <w:szCs w:val="20"/>
                <w:color w:val="auto"/>
              </w:rPr>
            </w:pPr>
            <w:r>
              <w:rPr>
                <w:rFonts w:ascii="Trebuchet MS" w:cs="Trebuchet MS" w:eastAsia="Trebuchet MS" w:hAnsi="Trebuchet MS"/>
                <w:sz w:val="8"/>
                <w:szCs w:val="8"/>
                <w:color w:val="808080"/>
              </w:rPr>
              <w:t>30</w:t>
            </w:r>
          </w:p>
        </w:tc>
        <w:tc>
          <w:tcPr>
            <w:tcW w:w="320" w:type="dxa"/>
            <w:vAlign w:val="bottom"/>
          </w:tcPr>
          <w:p>
            <w:pPr>
              <w:jc w:val="right"/>
              <w:ind w:right="53"/>
              <w:spacing w:after="0"/>
              <w:rPr>
                <w:sz w:val="20"/>
                <w:szCs w:val="20"/>
                <w:color w:val="auto"/>
              </w:rPr>
            </w:pPr>
            <w:r>
              <w:rPr>
                <w:rFonts w:ascii="Trebuchet MS" w:cs="Trebuchet MS" w:eastAsia="Trebuchet MS" w:hAnsi="Trebuchet MS"/>
                <w:sz w:val="8"/>
                <w:szCs w:val="8"/>
                <w:color w:val="808080"/>
              </w:rPr>
              <w:t>60</w:t>
            </w:r>
          </w:p>
        </w:tc>
        <w:tc>
          <w:tcPr>
            <w:tcW w:w="240" w:type="dxa"/>
            <w:vAlign w:val="bottom"/>
          </w:tcPr>
          <w:p>
            <w:pPr>
              <w:jc w:val="right"/>
              <w:ind w:right="40"/>
              <w:spacing w:after="0"/>
              <w:rPr>
                <w:sz w:val="20"/>
                <w:szCs w:val="20"/>
                <w:color w:val="auto"/>
              </w:rPr>
            </w:pPr>
            <w:r>
              <w:rPr>
                <w:rFonts w:ascii="Trebuchet MS" w:cs="Trebuchet MS" w:eastAsia="Trebuchet MS" w:hAnsi="Trebuchet MS"/>
                <w:sz w:val="8"/>
                <w:szCs w:val="8"/>
                <w:color w:val="808080"/>
              </w:rPr>
              <w:t>90</w:t>
            </w:r>
          </w:p>
        </w:tc>
        <w:tc>
          <w:tcPr>
            <w:tcW w:w="280" w:type="dxa"/>
            <w:vAlign w:val="bottom"/>
          </w:tcPr>
          <w:p>
            <w:pPr>
              <w:jc w:val="right"/>
              <w:ind w:right="40"/>
              <w:spacing w:after="0"/>
              <w:rPr>
                <w:sz w:val="20"/>
                <w:szCs w:val="20"/>
                <w:color w:val="auto"/>
              </w:rPr>
            </w:pPr>
            <w:r>
              <w:rPr>
                <w:rFonts w:ascii="Trebuchet MS" w:cs="Trebuchet MS" w:eastAsia="Trebuchet MS" w:hAnsi="Trebuchet MS"/>
                <w:sz w:val="8"/>
                <w:szCs w:val="8"/>
                <w:color w:val="808080"/>
              </w:rPr>
              <w:t>120</w:t>
            </w:r>
          </w:p>
        </w:tc>
        <w:tc>
          <w:tcPr>
            <w:tcW w:w="260" w:type="dxa"/>
            <w:vAlign w:val="bottom"/>
          </w:tcPr>
          <w:p>
            <w:pPr>
              <w:jc w:val="right"/>
              <w:ind w:right="40"/>
              <w:spacing w:after="0"/>
              <w:rPr>
                <w:sz w:val="20"/>
                <w:szCs w:val="20"/>
                <w:color w:val="auto"/>
              </w:rPr>
            </w:pPr>
            <w:r>
              <w:rPr>
                <w:rFonts w:ascii="Trebuchet MS" w:cs="Trebuchet MS" w:eastAsia="Trebuchet MS" w:hAnsi="Trebuchet MS"/>
                <w:sz w:val="8"/>
                <w:szCs w:val="8"/>
                <w:color w:val="808080"/>
              </w:rPr>
              <w:t>150</w:t>
            </w:r>
          </w:p>
        </w:tc>
        <w:tc>
          <w:tcPr>
            <w:tcW w:w="280" w:type="dxa"/>
            <w:vAlign w:val="bottom"/>
          </w:tcPr>
          <w:p>
            <w:pPr>
              <w:jc w:val="right"/>
              <w:ind w:right="40"/>
              <w:spacing w:after="0"/>
              <w:rPr>
                <w:sz w:val="20"/>
                <w:szCs w:val="20"/>
                <w:color w:val="auto"/>
              </w:rPr>
            </w:pPr>
            <w:r>
              <w:rPr>
                <w:rFonts w:ascii="Trebuchet MS" w:cs="Trebuchet MS" w:eastAsia="Trebuchet MS" w:hAnsi="Trebuchet MS"/>
                <w:sz w:val="8"/>
                <w:szCs w:val="8"/>
                <w:color w:val="808080"/>
              </w:rPr>
              <w:t>180</w:t>
            </w:r>
          </w:p>
        </w:tc>
        <w:tc>
          <w:tcPr>
            <w:tcW w:w="260" w:type="dxa"/>
            <w:vAlign w:val="bottom"/>
          </w:tcPr>
          <w:p>
            <w:pPr>
              <w:jc w:val="right"/>
              <w:ind w:right="20"/>
              <w:spacing w:after="0"/>
              <w:rPr>
                <w:sz w:val="20"/>
                <w:szCs w:val="20"/>
                <w:color w:val="auto"/>
              </w:rPr>
            </w:pPr>
            <w:r>
              <w:rPr>
                <w:rFonts w:ascii="Trebuchet MS" w:cs="Trebuchet MS" w:eastAsia="Trebuchet MS" w:hAnsi="Trebuchet MS"/>
                <w:sz w:val="8"/>
                <w:szCs w:val="8"/>
                <w:color w:val="808080"/>
              </w:rPr>
              <w:t>210</w:t>
            </w:r>
          </w:p>
        </w:tc>
        <w:tc>
          <w:tcPr>
            <w:tcW w:w="280" w:type="dxa"/>
            <w:vAlign w:val="bottom"/>
          </w:tcPr>
          <w:p>
            <w:pPr>
              <w:jc w:val="right"/>
              <w:ind w:right="40"/>
              <w:spacing w:after="0"/>
              <w:rPr>
                <w:sz w:val="20"/>
                <w:szCs w:val="20"/>
                <w:color w:val="auto"/>
              </w:rPr>
            </w:pPr>
            <w:r>
              <w:rPr>
                <w:rFonts w:ascii="Trebuchet MS" w:cs="Trebuchet MS" w:eastAsia="Trebuchet MS" w:hAnsi="Trebuchet MS"/>
                <w:sz w:val="8"/>
                <w:szCs w:val="8"/>
                <w:color w:val="808080"/>
              </w:rPr>
              <w:t>240</w:t>
            </w:r>
          </w:p>
        </w:tc>
        <w:tc>
          <w:tcPr>
            <w:tcW w:w="260" w:type="dxa"/>
            <w:vAlign w:val="bottom"/>
          </w:tcPr>
          <w:p>
            <w:pPr>
              <w:jc w:val="right"/>
              <w:ind w:right="33"/>
              <w:spacing w:after="0"/>
              <w:rPr>
                <w:sz w:val="20"/>
                <w:szCs w:val="20"/>
                <w:color w:val="auto"/>
              </w:rPr>
            </w:pPr>
            <w:r>
              <w:rPr>
                <w:rFonts w:ascii="Trebuchet MS" w:cs="Trebuchet MS" w:eastAsia="Trebuchet MS" w:hAnsi="Trebuchet MS"/>
                <w:sz w:val="8"/>
                <w:szCs w:val="8"/>
                <w:color w:val="808080"/>
              </w:rPr>
              <w:t>270</w:t>
            </w:r>
          </w:p>
        </w:tc>
        <w:tc>
          <w:tcPr>
            <w:tcW w:w="260" w:type="dxa"/>
            <w:vAlign w:val="bottom"/>
          </w:tcPr>
          <w:p>
            <w:pPr>
              <w:jc w:val="right"/>
              <w:ind w:right="20"/>
              <w:spacing w:after="0"/>
              <w:rPr>
                <w:sz w:val="20"/>
                <w:szCs w:val="20"/>
                <w:color w:val="auto"/>
              </w:rPr>
            </w:pPr>
            <w:r>
              <w:rPr>
                <w:rFonts w:ascii="Trebuchet MS" w:cs="Trebuchet MS" w:eastAsia="Trebuchet MS" w:hAnsi="Trebuchet MS"/>
                <w:sz w:val="8"/>
                <w:szCs w:val="8"/>
                <w:color w:val="808080"/>
              </w:rPr>
              <w:t>300</w:t>
            </w:r>
          </w:p>
        </w:tc>
        <w:tc>
          <w:tcPr>
            <w:tcW w:w="280" w:type="dxa"/>
            <w:vAlign w:val="bottom"/>
          </w:tcPr>
          <w:p>
            <w:pPr>
              <w:jc w:val="right"/>
              <w:ind w:right="40"/>
              <w:spacing w:after="0"/>
              <w:rPr>
                <w:sz w:val="20"/>
                <w:szCs w:val="20"/>
                <w:color w:val="auto"/>
              </w:rPr>
            </w:pPr>
            <w:r>
              <w:rPr>
                <w:rFonts w:ascii="Trebuchet MS" w:cs="Trebuchet MS" w:eastAsia="Trebuchet MS" w:hAnsi="Trebuchet MS"/>
                <w:sz w:val="8"/>
                <w:szCs w:val="8"/>
                <w:color w:val="808080"/>
              </w:rPr>
              <w:t>330</w:t>
            </w:r>
          </w:p>
        </w:tc>
        <w:tc>
          <w:tcPr>
            <w:tcW w:w="260" w:type="dxa"/>
            <w:vAlign w:val="bottom"/>
          </w:tcPr>
          <w:p>
            <w:pPr>
              <w:jc w:val="right"/>
              <w:ind w:right="20"/>
              <w:spacing w:after="0"/>
              <w:rPr>
                <w:sz w:val="20"/>
                <w:szCs w:val="20"/>
                <w:color w:val="auto"/>
              </w:rPr>
            </w:pPr>
            <w:r>
              <w:rPr>
                <w:rFonts w:ascii="Trebuchet MS" w:cs="Trebuchet MS" w:eastAsia="Trebuchet MS" w:hAnsi="Trebuchet MS"/>
                <w:sz w:val="8"/>
                <w:szCs w:val="8"/>
                <w:color w:val="808080"/>
              </w:rPr>
              <w:t>360</w:t>
            </w:r>
          </w:p>
        </w:tc>
        <w:tc>
          <w:tcPr>
            <w:tcW w:w="260" w:type="dxa"/>
            <w:vAlign w:val="bottom"/>
          </w:tcPr>
          <w:p>
            <w:pPr>
              <w:jc w:val="right"/>
              <w:ind w:right="20"/>
              <w:spacing w:after="0"/>
              <w:rPr>
                <w:sz w:val="20"/>
                <w:szCs w:val="20"/>
                <w:color w:val="auto"/>
              </w:rPr>
            </w:pPr>
            <w:r>
              <w:rPr>
                <w:rFonts w:ascii="Trebuchet MS" w:cs="Trebuchet MS" w:eastAsia="Trebuchet MS" w:hAnsi="Trebuchet MS"/>
                <w:sz w:val="8"/>
                <w:szCs w:val="8"/>
                <w:color w:val="808080"/>
              </w:rPr>
              <w:t>390</w:t>
            </w:r>
          </w:p>
        </w:tc>
        <w:tc>
          <w:tcPr>
            <w:tcW w:w="200" w:type="dxa"/>
            <w:vAlign w:val="bottom"/>
            <w:gridSpan w:val="2"/>
          </w:tcPr>
          <w:p>
            <w:pPr>
              <w:jc w:val="right"/>
              <w:spacing w:after="0"/>
              <w:rPr>
                <w:sz w:val="20"/>
                <w:szCs w:val="20"/>
                <w:color w:val="auto"/>
              </w:rPr>
            </w:pPr>
            <w:r>
              <w:rPr>
                <w:rFonts w:ascii="Trebuchet MS" w:cs="Trebuchet MS" w:eastAsia="Trebuchet MS" w:hAnsi="Trebuchet MS"/>
                <w:sz w:val="8"/>
                <w:szCs w:val="8"/>
                <w:color w:val="808080"/>
              </w:rPr>
              <w:t>420</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ind w:right="160"/>
        <w:spacing w:after="0"/>
        <w:rPr>
          <w:sz w:val="20"/>
          <w:szCs w:val="20"/>
          <w:color w:val="auto"/>
        </w:rPr>
      </w:pPr>
      <w:r>
        <w:rPr>
          <w:rFonts w:ascii="Trebuchet MS" w:cs="Trebuchet MS" w:eastAsia="Trebuchet MS" w:hAnsi="Trebuchet MS"/>
          <w:sz w:val="10"/>
          <w:szCs w:val="10"/>
          <w:color w:val="00001B"/>
        </w:rPr>
        <w:t>Minutes Post-Allergen Challenge</w:t>
      </w:r>
    </w:p>
    <w:p>
      <w:pPr>
        <w:spacing w:after="0" w:line="95" w:lineRule="exact"/>
        <w:rPr>
          <w:sz w:val="20"/>
          <w:szCs w:val="20"/>
          <w:color w:val="auto"/>
        </w:rPr>
      </w:pPr>
    </w:p>
    <w:p>
      <w:pPr>
        <w:ind w:left="200"/>
        <w:spacing w:after="0"/>
        <w:rPr>
          <w:sz w:val="20"/>
          <w:szCs w:val="20"/>
          <w:color w:val="auto"/>
        </w:rPr>
      </w:pPr>
      <w:r>
        <w:rPr>
          <w:sz w:val="1"/>
          <w:szCs w:val="1"/>
          <w:color w:val="auto"/>
        </w:rPr>
        <w:drawing>
          <wp:inline distT="0" distB="0" distL="0" distR="0">
            <wp:extent cx="182880" cy="812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extLst>
                    </a:blip>
                    <a:srcRect/>
                    <a:stretch>
                      <a:fillRect/>
                    </a:stretch>
                  </pic:blipFill>
                  <pic:spPr bwMode="auto">
                    <a:xfrm>
                      <a:off x="0" y="0"/>
                      <a:ext cx="182880" cy="81280"/>
                    </a:xfrm>
                    <a:prstGeom prst="rect">
                      <a:avLst/>
                    </a:prstGeom>
                    <a:noFill/>
                    <a:ln>
                      <a:noFill/>
                    </a:ln>
                  </pic:spPr>
                </pic:pic>
              </a:graphicData>
            </a:graphic>
          </wp:inline>
        </w:drawing>
      </w:r>
      <w:r>
        <w:rPr>
          <w:rFonts w:ascii="Trebuchet MS" w:cs="Trebuchet MS" w:eastAsia="Trebuchet MS" w:hAnsi="Trebuchet MS"/>
          <w:sz w:val="10"/>
          <w:szCs w:val="10"/>
          <w:color w:val="00001B"/>
        </w:rPr>
        <w:t xml:space="preserve">Pre-Dose Challenge  </w:t>
      </w:r>
      <w:r>
        <w:rPr>
          <w:sz w:val="1"/>
          <w:szCs w:val="1"/>
          <w:color w:val="auto"/>
        </w:rPr>
        <w:drawing>
          <wp:inline distT="0" distB="0" distL="0" distR="0">
            <wp:extent cx="180975" cy="8128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extLst>
                    </a:blip>
                    <a:srcRect/>
                    <a:stretch>
                      <a:fillRect/>
                    </a:stretch>
                  </pic:blipFill>
                  <pic:spPr bwMode="auto">
                    <a:xfrm>
                      <a:off x="0" y="0"/>
                      <a:ext cx="180975" cy="81280"/>
                    </a:xfrm>
                    <a:prstGeom prst="rect">
                      <a:avLst/>
                    </a:prstGeom>
                    <a:noFill/>
                    <a:ln>
                      <a:noFill/>
                    </a:ln>
                  </pic:spPr>
                </pic:pic>
              </a:graphicData>
            </a:graphic>
          </wp:inline>
        </w:drawing>
      </w:r>
      <w:r>
        <w:rPr>
          <w:rFonts w:ascii="Trebuchet MS" w:cs="Trebuchet MS" w:eastAsia="Trebuchet MS" w:hAnsi="Trebuchet MS"/>
          <w:sz w:val="10"/>
          <w:szCs w:val="10"/>
          <w:color w:val="00001B"/>
        </w:rPr>
        <w:t xml:space="preserve"> Week 6 Challenge  </w:t>
      </w:r>
      <w:r>
        <w:rPr>
          <w:sz w:val="1"/>
          <w:szCs w:val="1"/>
          <w:color w:val="auto"/>
        </w:rPr>
        <w:drawing>
          <wp:inline distT="0" distB="0" distL="0" distR="0">
            <wp:extent cx="182880" cy="8128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182880" cy="81280"/>
                    </a:xfrm>
                    <a:prstGeom prst="rect">
                      <a:avLst/>
                    </a:prstGeom>
                    <a:noFill/>
                    <a:ln>
                      <a:noFill/>
                    </a:ln>
                  </pic:spPr>
                </pic:pic>
              </a:graphicData>
            </a:graphic>
          </wp:inline>
        </w:drawing>
      </w:r>
      <w:r>
        <w:rPr>
          <w:rFonts w:ascii="Trebuchet MS" w:cs="Trebuchet MS" w:eastAsia="Trebuchet MS" w:hAnsi="Trebuchet MS"/>
          <w:sz w:val="10"/>
          <w:szCs w:val="10"/>
          <w:color w:val="00001B"/>
        </w:rPr>
        <w:t xml:space="preserve"> Week 12 Challenge</w:t>
      </w:r>
    </w:p>
    <w:p>
      <w:pPr>
        <w:spacing w:after="0" w:line="220" w:lineRule="exact"/>
        <w:rPr>
          <w:sz w:val="20"/>
          <w:szCs w:val="20"/>
          <w:color w:val="auto"/>
        </w:rPr>
      </w:pPr>
    </w:p>
    <w:p>
      <w:pPr>
        <w:sectPr>
          <w:pgSz w:w="12240" w:h="15840" w:orient="portrait"/>
          <w:cols w:equalWidth="0" w:num="4">
            <w:col w:w="286" w:space="74"/>
            <w:col w:w="4080" w:space="448"/>
            <w:col w:w="139" w:space="72"/>
            <w:col w:w="4260"/>
          </w:cols>
          <w:pgMar w:left="1440" w:top="950" w:right="1440" w:bottom="348" w:gutter="0" w:footer="0" w:header="0"/>
          <w:type w:val="continuous"/>
        </w:sectPr>
      </w:pPr>
    </w:p>
    <w:p>
      <w:pPr>
        <w:spacing w:after="0" w:line="301" w:lineRule="exact"/>
        <w:rPr>
          <w:sz w:val="20"/>
          <w:szCs w:val="20"/>
          <w:color w:val="auto"/>
        </w:rPr>
      </w:pPr>
    </w:p>
    <w:p>
      <w:pPr>
        <w:ind w:left="960" w:right="40" w:hanging="480"/>
        <w:spacing w:after="0" w:line="255" w:lineRule="auto"/>
        <w:tabs>
          <w:tab w:leader="none" w:pos="96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Patient airway hyperresponsiveness was also assessed pre- and post-allergen challenge by methacholine PD20. At baseline, prior to administration of briquilimab, patients randomized to both the placebo group and the briquilimab group had similar drops in the ratio of post- to pre-allergen challenge methacholine PD20 (dose of methacholine required to drive a 20% decrease in FEV</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9"/>
          <w:szCs w:val="19"/>
          <w:color w:val="auto"/>
        </w:rPr>
        <w:t>) following allergen challenge of 0.50 and 0.46, respectively. At the week 6 challenge the shift in the methacholine PD20 response was</w:t>
      </w:r>
    </w:p>
    <w:p>
      <w:pPr>
        <w:spacing w:after="0" w:line="2" w:lineRule="exact"/>
        <w:rPr>
          <w:rFonts w:ascii="Times New Roman" w:cs="Times New Roman" w:eastAsia="Times New Roman" w:hAnsi="Times New Roman"/>
          <w:sz w:val="19"/>
          <w:szCs w:val="19"/>
          <w:color w:val="auto"/>
        </w:rPr>
      </w:pPr>
    </w:p>
    <w:p>
      <w:pPr>
        <w:ind w:left="960" w:right="32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0.40 for placebo and 0.63 for briquilimab and at the week 12 challenge the shift was 0.60 for placebo and 1.58 for briquilimab indicating an increased resistance to methacholine following allergen in patients dosed with briquilimab.</w:t>
      </w:r>
    </w:p>
    <w:p>
      <w:pPr>
        <w:spacing w:after="0" w:line="172" w:lineRule="exact"/>
        <w:rPr>
          <w:rFonts w:ascii="Times New Roman" w:cs="Times New Roman" w:eastAsia="Times New Roman" w:hAnsi="Times New Roman"/>
          <w:sz w:val="19"/>
          <w:szCs w:val="19"/>
          <w:color w:val="auto"/>
        </w:rPr>
      </w:pPr>
    </w:p>
    <w:p>
      <w:pPr>
        <w:ind w:left="960" w:right="100" w:hanging="480"/>
        <w:spacing w:after="0" w:line="248" w:lineRule="auto"/>
        <w:tabs>
          <w:tab w:leader="none" w:pos="9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Sputum eosinophils, a potential marker of inflammatory response, were also measured at pre-challenge, 7 and 24 hours following allergen challenge at week 6 and week 12. Participants receiving briquilimab demonstrated notably lower eosinophil levels as compared to those receiving placebo, indicating a reduction in the inflammatory response to their allergen.</w:t>
      </w:r>
    </w:p>
    <w:p>
      <w:pPr>
        <w:sectPr>
          <w:pgSz w:w="12240" w:h="15840" w:orient="portrait"/>
          <w:cols w:equalWidth="0" w:num="1">
            <w:col w:w="9360"/>
          </w:cols>
          <w:pgMar w:left="1440" w:top="950" w:right="1440" w:bottom="3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360"/>
          </w:cols>
          <w:pgMar w:left="1440" w:top="950" w:right="1440" w:bottom="348" w:gutter="0" w:footer="0" w:header="0"/>
          <w:type w:val="continuous"/>
        </w:sectPr>
      </w:pPr>
    </w:p>
    <w:bookmarkStart w:id="14" w:name="page15"/>
    <w:bookmarkEnd w:id="14"/>
    <w:p>
      <w:pPr>
        <w:ind w:left="480"/>
        <w:spacing w:after="0"/>
        <w:rPr>
          <w:sz w:val="20"/>
          <w:szCs w:val="20"/>
          <w:color w:val="auto"/>
        </w:rPr>
      </w:pPr>
      <w:r>
        <w:rPr>
          <w:rFonts w:ascii="Times New Roman" w:cs="Times New Roman" w:eastAsia="Times New Roman" w:hAnsi="Times New Roman"/>
          <w:sz w:val="19"/>
          <w:szCs w:val="19"/>
          <w:i w:val="1"/>
          <w:iCs w:val="1"/>
          <w:color w:val="auto"/>
        </w:rPr>
        <w:t>Figure 7 — Reduced eosinophil levels observed in participants receiving briquilimab in the ETESIAN study</w:t>
      </w:r>
    </w:p>
    <w:p>
      <w:pPr>
        <w:spacing w:after="0" w:line="136" w:lineRule="exact"/>
        <w:rPr>
          <w:sz w:val="20"/>
          <w:szCs w:val="20"/>
          <w:color w:val="auto"/>
        </w:rPr>
      </w:pPr>
    </w:p>
    <w:p>
      <w:pPr>
        <w:ind w:left="4360"/>
        <w:spacing w:after="0"/>
        <w:rPr>
          <w:sz w:val="20"/>
          <w:szCs w:val="20"/>
          <w:color w:val="auto"/>
        </w:rPr>
      </w:pPr>
      <w:r>
        <w:rPr>
          <w:rFonts w:ascii="Trebuchet MS" w:cs="Trebuchet MS" w:eastAsia="Trebuchet MS" w:hAnsi="Trebuchet MS"/>
          <w:sz w:val="16"/>
          <w:szCs w:val="16"/>
          <w:b w:val="1"/>
          <w:bCs w:val="1"/>
          <w:color w:val="auto"/>
        </w:rPr>
        <w:t>Sputum Eos noph ls</w:t>
      </w:r>
    </w:p>
    <w:p>
      <w:pPr>
        <w:spacing w:after="0" w:line="33" w:lineRule="exact"/>
        <w:rPr>
          <w:sz w:val="20"/>
          <w:szCs w:val="20"/>
          <w:color w:val="auto"/>
        </w:rPr>
      </w:pPr>
    </w:p>
    <w:p>
      <w:pPr>
        <w:ind w:left="2880" w:hanging="403"/>
        <w:spacing w:after="0"/>
        <w:tabs>
          <w:tab w:leader="none" w:pos="2880" w:val="left"/>
        </w:tabs>
        <w:numPr>
          <w:ilvl w:val="0"/>
          <w:numId w:val="22"/>
        </w:numPr>
        <w:rPr>
          <w:rFonts w:ascii="Trebuchet MS" w:cs="Trebuchet MS" w:eastAsia="Trebuchet MS" w:hAnsi="Trebuchet MS"/>
          <w:sz w:val="23"/>
          <w:szCs w:val="23"/>
          <w:b w:val="1"/>
          <w:bCs w:val="1"/>
          <w:color w:val="auto"/>
          <w:vertAlign w:val="superscript"/>
        </w:rPr>
      </w:pPr>
      <w:r>
        <w:rPr>
          <w:sz w:val="1"/>
          <w:szCs w:val="1"/>
          <w:color w:val="auto"/>
        </w:rPr>
        <w:drawing>
          <wp:inline distT="0" distB="0" distL="0" distR="0">
            <wp:extent cx="57785" cy="5778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extLst>
                    </a:blip>
                    <a:srcRect/>
                    <a:stretch>
                      <a:fillRect/>
                    </a:stretch>
                  </pic:blipFill>
                  <pic:spPr bwMode="auto">
                    <a:xfrm>
                      <a:off x="0" y="0"/>
                      <a:ext cx="57785" cy="57785"/>
                    </a:xfrm>
                    <a:prstGeom prst="rect">
                      <a:avLst/>
                    </a:prstGeom>
                    <a:noFill/>
                    <a:ln>
                      <a:noFill/>
                    </a:ln>
                  </pic:spPr>
                </pic:pic>
              </a:graphicData>
            </a:graphic>
          </wp:inline>
        </w:drawing>
      </w:r>
      <w:r>
        <w:rPr>
          <w:rFonts w:ascii="Trebuchet MS" w:cs="Trebuchet MS" w:eastAsia="Trebuchet MS" w:hAnsi="Trebuchet MS"/>
          <w:sz w:val="13"/>
          <w:szCs w:val="13"/>
          <w:color w:val="auto"/>
        </w:rPr>
        <w:t xml:space="preserve"> Placebo (n=7)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-107950</wp:posOffset>
            </wp:positionV>
            <wp:extent cx="3096260" cy="14662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extLst>
                    </a:blip>
                    <a:srcRect/>
                    <a:stretch>
                      <a:fillRect/>
                    </a:stretch>
                  </pic:blipFill>
                  <pic:spPr bwMode="auto">
                    <a:xfrm>
                      <a:off x="0" y="0"/>
                      <a:ext cx="3096260" cy="1466215"/>
                    </a:xfrm>
                    <a:prstGeom prst="rect">
                      <a:avLst/>
                    </a:prstGeom>
                    <a:noFill/>
                  </pic:spPr>
                </pic:pic>
              </a:graphicData>
            </a:graphic>
          </wp:anchor>
        </w:drawing>
      </w:r>
    </w:p>
    <w:p>
      <w:pPr>
        <w:sectPr>
          <w:pgSz w:w="12240" w:h="15840" w:orient="portrait"/>
          <w:cols w:equalWidth="0" w:num="1">
            <w:col w:w="9360"/>
          </w:cols>
          <w:pgMar w:left="1440" w:top="950" w:right="1440" w:bottom="348" w:gutter="0" w:footer="0" w:header="0"/>
        </w:sectPr>
      </w:pPr>
    </w:p>
    <w:p>
      <w:pPr>
        <w:spacing w:after="0" w:line="309" w:lineRule="exact"/>
        <w:rPr>
          <w:sz w:val="20"/>
          <w:szCs w:val="20"/>
          <w:color w:val="auto"/>
        </w:rPr>
      </w:pPr>
    </w:p>
    <w:tbl>
      <w:tblPr>
        <w:tblLayout w:type="fixed"/>
        <w:tblInd w:w="2259" w:type="dxa"/>
        <w:tblCellMar>
          <w:top w:w="0" w:type="dxa"/>
          <w:left w:w="0" w:type="dxa"/>
          <w:bottom w:w="0" w:type="dxa"/>
          <w:right w:w="0" w:type="dxa"/>
        </w:tblCellMar>
      </w:tblPr>
      <w:tr>
        <w:trPr>
          <w:trHeight w:val="1340"/>
        </w:trPr>
        <w:tc>
          <w:tcPr>
            <w:tcW w:w="151" w:type="dxa"/>
            <w:vAlign w:val="bottom"/>
            <w:textDirection w:val="btLr"/>
          </w:tcPr>
          <w:p>
            <w:pPr>
              <w:spacing w:after="0"/>
              <w:rPr>
                <w:sz w:val="20"/>
                <w:szCs w:val="20"/>
                <w:color w:val="auto"/>
              </w:rPr>
            </w:pPr>
            <w:r>
              <w:rPr>
                <w:rFonts w:ascii="Trebuchet MS" w:cs="Trebuchet MS" w:eastAsia="Trebuchet MS" w:hAnsi="Trebuchet MS"/>
                <w:sz w:val="13"/>
                <w:szCs w:val="13"/>
                <w:color w:val="auto"/>
              </w:rPr>
              <w:t>% Eosnophls n Sputum</w:t>
            </w: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rebuchet MS" w:cs="Trebuchet MS" w:eastAsia="Trebuchet MS" w:hAnsi="Trebuchet MS"/>
          <w:sz w:val="11"/>
          <w:szCs w:val="11"/>
          <w:b w:val="1"/>
          <w:bCs w:val="1"/>
          <w:color w:val="auto"/>
        </w:rPr>
        <w:t>50</w:t>
      </w:r>
    </w:p>
    <w:p>
      <w:pPr>
        <w:spacing w:after="0" w:line="237" w:lineRule="exact"/>
        <w:rPr>
          <w:sz w:val="20"/>
          <w:szCs w:val="20"/>
          <w:color w:val="auto"/>
        </w:rPr>
      </w:pPr>
    </w:p>
    <w:p>
      <w:pPr>
        <w:spacing w:after="0"/>
        <w:rPr>
          <w:sz w:val="20"/>
          <w:szCs w:val="20"/>
          <w:color w:val="auto"/>
        </w:rPr>
      </w:pPr>
      <w:r>
        <w:rPr>
          <w:rFonts w:ascii="Trebuchet MS" w:cs="Trebuchet MS" w:eastAsia="Trebuchet MS" w:hAnsi="Trebuchet MS"/>
          <w:sz w:val="11"/>
          <w:szCs w:val="11"/>
          <w:b w:val="1"/>
          <w:bCs w:val="1"/>
          <w:color w:val="auto"/>
        </w:rPr>
        <w:t>40</w:t>
      </w:r>
    </w:p>
    <w:p>
      <w:pPr>
        <w:spacing w:after="0" w:line="237" w:lineRule="exact"/>
        <w:rPr>
          <w:sz w:val="20"/>
          <w:szCs w:val="20"/>
          <w:color w:val="auto"/>
        </w:rPr>
      </w:pPr>
    </w:p>
    <w:p>
      <w:pPr>
        <w:spacing w:after="0"/>
        <w:rPr>
          <w:sz w:val="20"/>
          <w:szCs w:val="20"/>
          <w:color w:val="auto"/>
        </w:rPr>
      </w:pPr>
      <w:r>
        <w:rPr>
          <w:rFonts w:ascii="Trebuchet MS" w:cs="Trebuchet MS" w:eastAsia="Trebuchet MS" w:hAnsi="Trebuchet MS"/>
          <w:sz w:val="11"/>
          <w:szCs w:val="11"/>
          <w:b w:val="1"/>
          <w:bCs w:val="1"/>
          <w:color w:val="auto"/>
        </w:rPr>
        <w:t>30</w:t>
      </w:r>
    </w:p>
    <w:p>
      <w:pPr>
        <w:spacing w:after="0" w:line="237" w:lineRule="exact"/>
        <w:rPr>
          <w:sz w:val="20"/>
          <w:szCs w:val="20"/>
          <w:color w:val="auto"/>
        </w:rPr>
      </w:pPr>
    </w:p>
    <w:p>
      <w:pPr>
        <w:spacing w:after="0"/>
        <w:rPr>
          <w:sz w:val="20"/>
          <w:szCs w:val="20"/>
          <w:color w:val="auto"/>
        </w:rPr>
      </w:pPr>
      <w:r>
        <w:rPr>
          <w:rFonts w:ascii="Trebuchet MS" w:cs="Trebuchet MS" w:eastAsia="Trebuchet MS" w:hAnsi="Trebuchet MS"/>
          <w:sz w:val="11"/>
          <w:szCs w:val="11"/>
          <w:b w:val="1"/>
          <w:bCs w:val="1"/>
          <w:color w:val="auto"/>
        </w:rPr>
        <w:t>20</w:t>
      </w:r>
    </w:p>
    <w:p>
      <w:pPr>
        <w:spacing w:after="0" w:line="237" w:lineRule="exact"/>
        <w:rPr>
          <w:sz w:val="20"/>
          <w:szCs w:val="20"/>
          <w:color w:val="auto"/>
        </w:rPr>
      </w:pPr>
    </w:p>
    <w:p>
      <w:pPr>
        <w:spacing w:after="0"/>
        <w:rPr>
          <w:sz w:val="20"/>
          <w:szCs w:val="20"/>
          <w:color w:val="auto"/>
        </w:rPr>
      </w:pPr>
      <w:r>
        <w:rPr>
          <w:rFonts w:ascii="Trebuchet MS" w:cs="Trebuchet MS" w:eastAsia="Trebuchet MS" w:hAnsi="Trebuchet MS"/>
          <w:sz w:val="11"/>
          <w:szCs w:val="11"/>
          <w:b w:val="1"/>
          <w:bCs w:val="1"/>
          <w:color w:val="auto"/>
        </w:rPr>
        <w:t>10</w:t>
      </w:r>
    </w:p>
    <w:p>
      <w:pPr>
        <w:spacing w:after="0" w:line="237" w:lineRule="exact"/>
        <w:rPr>
          <w:sz w:val="20"/>
          <w:szCs w:val="20"/>
          <w:color w:val="auto"/>
        </w:rPr>
      </w:pPr>
    </w:p>
    <w:p>
      <w:pPr>
        <w:jc w:val="right"/>
        <w:spacing w:after="0"/>
        <w:rPr>
          <w:sz w:val="20"/>
          <w:szCs w:val="20"/>
          <w:color w:val="auto"/>
        </w:rPr>
      </w:pPr>
      <w:r>
        <w:rPr>
          <w:rFonts w:ascii="Trebuchet MS" w:cs="Trebuchet MS" w:eastAsia="Trebuchet MS" w:hAnsi="Trebuchet MS"/>
          <w:sz w:val="11"/>
          <w:szCs w:val="11"/>
          <w:b w:val="1"/>
          <w:bCs w:val="1"/>
          <w:color w:val="auto"/>
        </w:rPr>
        <w:t>0</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rebuchet MS" w:cs="Trebuchet MS" w:eastAsia="Trebuchet MS" w:hAnsi="Trebuchet MS"/>
          <w:sz w:val="12"/>
          <w:szCs w:val="12"/>
          <w:color w:val="auto"/>
        </w:rPr>
        <w:t>Br qu l mab (n=6)</w:t>
      </w:r>
    </w:p>
    <w:p>
      <w:pPr>
        <w:spacing w:after="0" w:line="1912" w:lineRule="exact"/>
        <w:rPr>
          <w:sz w:val="20"/>
          <w:szCs w:val="20"/>
          <w:color w:val="auto"/>
        </w:rPr>
      </w:pPr>
    </w:p>
    <w:p>
      <w:pPr>
        <w:sectPr>
          <w:pgSz w:w="12240" w:h="15840" w:orient="portrait"/>
          <w:cols w:equalWidth="0" w:num="3">
            <w:col w:w="2410" w:space="70"/>
            <w:col w:w="140" w:space="420"/>
            <w:col w:w="6320"/>
          </w:cols>
          <w:pgMar w:left="1440" w:top="950" w:right="1440" w:bottom="348" w:gutter="0" w:footer="0" w:header="0"/>
          <w:type w:val="continuous"/>
        </w:sectPr>
      </w:pPr>
    </w:p>
    <w:tbl>
      <w:tblPr>
        <w:tblLayout w:type="fixed"/>
        <w:tblInd w:w="1880" w:type="dxa"/>
        <w:tblCellMar>
          <w:top w:w="0" w:type="dxa"/>
          <w:left w:w="0" w:type="dxa"/>
          <w:bottom w:w="0" w:type="dxa"/>
          <w:right w:w="0" w:type="dxa"/>
        </w:tblCellMar>
      </w:tblPr>
      <w:tr>
        <w:trPr>
          <w:trHeight w:val="120"/>
        </w:trPr>
        <w:tc>
          <w:tcPr>
            <w:tcW w:w="860" w:type="dxa"/>
            <w:vAlign w:val="bottom"/>
          </w:tcPr>
          <w:p>
            <w:pPr>
              <w:jc w:val="center"/>
              <w:ind w:right="30"/>
              <w:spacing w:after="0"/>
              <w:rPr>
                <w:sz w:val="20"/>
                <w:szCs w:val="20"/>
                <w:color w:val="auto"/>
              </w:rPr>
            </w:pPr>
            <w:r>
              <w:rPr>
                <w:rFonts w:ascii="Trebuchet MS" w:cs="Trebuchet MS" w:eastAsia="Trebuchet MS" w:hAnsi="Trebuchet MS"/>
                <w:sz w:val="10"/>
                <w:szCs w:val="10"/>
                <w:color w:val="auto"/>
              </w:rPr>
              <w:t>Post-br qu l mab</w:t>
            </w:r>
          </w:p>
        </w:tc>
        <w:tc>
          <w:tcPr>
            <w:tcW w:w="580" w:type="dxa"/>
            <w:vAlign w:val="bottom"/>
            <w:vMerge w:val="restart"/>
          </w:tcPr>
          <w:p>
            <w:pPr>
              <w:jc w:val="right"/>
              <w:ind w:right="210"/>
              <w:spacing w:after="0"/>
              <w:rPr>
                <w:sz w:val="20"/>
                <w:szCs w:val="20"/>
                <w:color w:val="auto"/>
              </w:rPr>
            </w:pPr>
            <w:r>
              <w:rPr>
                <w:rFonts w:ascii="Trebuchet MS" w:cs="Trebuchet MS" w:eastAsia="Trebuchet MS" w:hAnsi="Trebuchet MS"/>
                <w:sz w:val="10"/>
                <w:szCs w:val="10"/>
                <w:color w:val="auto"/>
              </w:rPr>
              <w:t>0</w:t>
            </w:r>
          </w:p>
        </w:tc>
        <w:tc>
          <w:tcPr>
            <w:tcW w:w="740" w:type="dxa"/>
            <w:vAlign w:val="bottom"/>
            <w:vMerge w:val="restart"/>
          </w:tcPr>
          <w:p>
            <w:pPr>
              <w:jc w:val="right"/>
              <w:ind w:right="230"/>
              <w:spacing w:after="0"/>
              <w:rPr>
                <w:sz w:val="20"/>
                <w:szCs w:val="20"/>
                <w:color w:val="auto"/>
              </w:rPr>
            </w:pPr>
            <w:r>
              <w:rPr>
                <w:rFonts w:ascii="Trebuchet MS" w:cs="Trebuchet MS" w:eastAsia="Trebuchet MS" w:hAnsi="Trebuchet MS"/>
                <w:sz w:val="10"/>
                <w:szCs w:val="10"/>
                <w:color w:val="auto"/>
              </w:rPr>
              <w:t>41</w:t>
            </w:r>
          </w:p>
        </w:tc>
        <w:tc>
          <w:tcPr>
            <w:tcW w:w="700" w:type="dxa"/>
            <w:vAlign w:val="bottom"/>
            <w:vMerge w:val="restart"/>
          </w:tcPr>
          <w:p>
            <w:pPr>
              <w:jc w:val="right"/>
              <w:ind w:right="250"/>
              <w:spacing w:after="0"/>
              <w:rPr>
                <w:sz w:val="20"/>
                <w:szCs w:val="20"/>
                <w:color w:val="auto"/>
              </w:rPr>
            </w:pPr>
            <w:r>
              <w:rPr>
                <w:rFonts w:ascii="Trebuchet MS" w:cs="Trebuchet MS" w:eastAsia="Trebuchet MS" w:hAnsi="Trebuchet MS"/>
                <w:sz w:val="10"/>
                <w:szCs w:val="10"/>
                <w:color w:val="auto"/>
              </w:rPr>
              <w:t>42</w:t>
            </w:r>
          </w:p>
        </w:tc>
        <w:tc>
          <w:tcPr>
            <w:tcW w:w="620" w:type="dxa"/>
            <w:vAlign w:val="bottom"/>
            <w:vMerge w:val="restart"/>
          </w:tcPr>
          <w:p>
            <w:pPr>
              <w:jc w:val="right"/>
              <w:ind w:right="190"/>
              <w:spacing w:after="0"/>
              <w:rPr>
                <w:sz w:val="20"/>
                <w:szCs w:val="20"/>
                <w:color w:val="auto"/>
              </w:rPr>
            </w:pPr>
            <w:r>
              <w:rPr>
                <w:rFonts w:ascii="Trebuchet MS" w:cs="Trebuchet MS" w:eastAsia="Trebuchet MS" w:hAnsi="Trebuchet MS"/>
                <w:sz w:val="10"/>
                <w:szCs w:val="10"/>
                <w:color w:val="auto"/>
              </w:rPr>
              <w:t>43</w:t>
            </w:r>
          </w:p>
        </w:tc>
        <w:tc>
          <w:tcPr>
            <w:tcW w:w="740" w:type="dxa"/>
            <w:vAlign w:val="bottom"/>
            <w:vMerge w:val="restart"/>
          </w:tcPr>
          <w:p>
            <w:pPr>
              <w:jc w:val="right"/>
              <w:ind w:right="250"/>
              <w:spacing w:after="0"/>
              <w:rPr>
                <w:sz w:val="20"/>
                <w:szCs w:val="20"/>
                <w:color w:val="auto"/>
              </w:rPr>
            </w:pPr>
            <w:r>
              <w:rPr>
                <w:rFonts w:ascii="Trebuchet MS" w:cs="Trebuchet MS" w:eastAsia="Trebuchet MS" w:hAnsi="Trebuchet MS"/>
                <w:sz w:val="10"/>
                <w:szCs w:val="10"/>
                <w:color w:val="auto"/>
              </w:rPr>
              <w:t>83</w:t>
            </w:r>
          </w:p>
        </w:tc>
        <w:tc>
          <w:tcPr>
            <w:tcW w:w="700" w:type="dxa"/>
            <w:vAlign w:val="bottom"/>
            <w:vMerge w:val="restart"/>
          </w:tcPr>
          <w:p>
            <w:pPr>
              <w:jc w:val="right"/>
              <w:ind w:right="270"/>
              <w:spacing w:after="0"/>
              <w:rPr>
                <w:sz w:val="20"/>
                <w:szCs w:val="20"/>
                <w:color w:val="auto"/>
              </w:rPr>
            </w:pPr>
            <w:r>
              <w:rPr>
                <w:rFonts w:ascii="Trebuchet MS" w:cs="Trebuchet MS" w:eastAsia="Trebuchet MS" w:hAnsi="Trebuchet MS"/>
                <w:sz w:val="10"/>
                <w:szCs w:val="10"/>
                <w:color w:val="auto"/>
              </w:rPr>
              <w:t>84</w:t>
            </w:r>
          </w:p>
        </w:tc>
        <w:tc>
          <w:tcPr>
            <w:tcW w:w="580" w:type="dxa"/>
            <w:vAlign w:val="bottom"/>
            <w:vMerge w:val="restart"/>
          </w:tcPr>
          <w:p>
            <w:pPr>
              <w:jc w:val="right"/>
              <w:ind w:right="170"/>
              <w:spacing w:after="0"/>
              <w:rPr>
                <w:sz w:val="20"/>
                <w:szCs w:val="20"/>
                <w:color w:val="auto"/>
              </w:rPr>
            </w:pPr>
            <w:r>
              <w:rPr>
                <w:rFonts w:ascii="Trebuchet MS" w:cs="Trebuchet MS" w:eastAsia="Trebuchet MS" w:hAnsi="Trebuchet MS"/>
                <w:sz w:val="10"/>
                <w:szCs w:val="10"/>
                <w:color w:val="auto"/>
              </w:rPr>
              <w:t>85</w:t>
            </w:r>
          </w:p>
        </w:tc>
        <w:tc>
          <w:tcPr>
            <w:tcW w:w="0" w:type="dxa"/>
            <w:vAlign w:val="bottom"/>
          </w:tcPr>
          <w:p>
            <w:pPr>
              <w:spacing w:after="0"/>
              <w:rPr>
                <w:sz w:val="1"/>
                <w:szCs w:val="1"/>
                <w:color w:val="auto"/>
              </w:rPr>
            </w:pPr>
          </w:p>
        </w:tc>
      </w:tr>
      <w:tr>
        <w:trPr>
          <w:trHeight w:val="71"/>
        </w:trPr>
        <w:tc>
          <w:tcPr>
            <w:tcW w:w="860" w:type="dxa"/>
            <w:vAlign w:val="bottom"/>
            <w:vMerge w:val="restart"/>
          </w:tcPr>
          <w:p>
            <w:pPr>
              <w:jc w:val="center"/>
              <w:ind w:right="50"/>
              <w:spacing w:after="0"/>
              <w:rPr>
                <w:sz w:val="20"/>
                <w:szCs w:val="20"/>
                <w:color w:val="auto"/>
              </w:rPr>
            </w:pPr>
            <w:r>
              <w:rPr>
                <w:rFonts w:ascii="Trebuchet MS" w:cs="Trebuchet MS" w:eastAsia="Trebuchet MS" w:hAnsi="Trebuchet MS"/>
                <w:sz w:val="10"/>
                <w:szCs w:val="10"/>
                <w:color w:val="auto"/>
              </w:rPr>
              <w:t>(days)</w:t>
            </w:r>
          </w:p>
        </w:tc>
        <w:tc>
          <w:tcPr>
            <w:tcW w:w="5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860" w:type="dxa"/>
            <w:vAlign w:val="bottom"/>
            <w:vMerge w:val="continue"/>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Trebuchet MS" w:cs="Trebuchet MS" w:eastAsia="Trebuchet MS" w:hAnsi="Trebuchet MS"/>
                <w:sz w:val="10"/>
                <w:szCs w:val="10"/>
                <w:color w:val="auto"/>
              </w:rPr>
              <w:t>Basel ne</w:t>
            </w:r>
          </w:p>
        </w:tc>
        <w:tc>
          <w:tcPr>
            <w:tcW w:w="740" w:type="dxa"/>
            <w:vAlign w:val="bottom"/>
            <w:vMerge w:val="restart"/>
          </w:tcPr>
          <w:p>
            <w:pPr>
              <w:jc w:val="center"/>
              <w:ind w:left="10"/>
              <w:spacing w:after="0"/>
              <w:rPr>
                <w:sz w:val="20"/>
                <w:szCs w:val="20"/>
                <w:color w:val="auto"/>
              </w:rPr>
            </w:pPr>
            <w:r>
              <w:rPr>
                <w:rFonts w:ascii="Trebuchet MS" w:cs="Trebuchet MS" w:eastAsia="Trebuchet MS" w:hAnsi="Trebuchet MS"/>
                <w:sz w:val="10"/>
                <w:szCs w:val="10"/>
                <w:color w:val="auto"/>
              </w:rPr>
              <w:t>Pre-challenge</w:t>
            </w:r>
          </w:p>
        </w:tc>
        <w:tc>
          <w:tcPr>
            <w:tcW w:w="700" w:type="dxa"/>
            <w:vAlign w:val="bottom"/>
            <w:vMerge w:val="restart"/>
          </w:tcPr>
          <w:p>
            <w:pPr>
              <w:ind w:left="100"/>
              <w:spacing w:after="0"/>
              <w:rPr>
                <w:sz w:val="20"/>
                <w:szCs w:val="20"/>
                <w:color w:val="auto"/>
              </w:rPr>
            </w:pPr>
            <w:r>
              <w:rPr>
                <w:rFonts w:ascii="Trebuchet MS" w:cs="Trebuchet MS" w:eastAsia="Trebuchet MS" w:hAnsi="Trebuchet MS"/>
                <w:sz w:val="10"/>
                <w:szCs w:val="10"/>
                <w:color w:val="auto"/>
              </w:rPr>
              <w:t>7 hrs post</w:t>
            </w:r>
          </w:p>
        </w:tc>
        <w:tc>
          <w:tcPr>
            <w:tcW w:w="620" w:type="dxa"/>
            <w:vAlign w:val="bottom"/>
            <w:vMerge w:val="restart"/>
          </w:tcPr>
          <w:p>
            <w:pPr>
              <w:jc w:val="center"/>
              <w:spacing w:after="0"/>
              <w:rPr>
                <w:sz w:val="20"/>
                <w:szCs w:val="20"/>
                <w:color w:val="auto"/>
              </w:rPr>
            </w:pPr>
            <w:r>
              <w:rPr>
                <w:rFonts w:ascii="Trebuchet MS" w:cs="Trebuchet MS" w:eastAsia="Trebuchet MS" w:hAnsi="Trebuchet MS"/>
                <w:sz w:val="10"/>
                <w:szCs w:val="10"/>
                <w:color w:val="auto"/>
              </w:rPr>
              <w:t>24 hrs post</w:t>
            </w:r>
          </w:p>
        </w:tc>
        <w:tc>
          <w:tcPr>
            <w:tcW w:w="740" w:type="dxa"/>
            <w:vAlign w:val="bottom"/>
            <w:vMerge w:val="restart"/>
          </w:tcPr>
          <w:p>
            <w:pPr>
              <w:jc w:val="center"/>
              <w:spacing w:after="0"/>
              <w:rPr>
                <w:sz w:val="20"/>
                <w:szCs w:val="20"/>
                <w:color w:val="auto"/>
              </w:rPr>
            </w:pPr>
            <w:r>
              <w:rPr>
                <w:rFonts w:ascii="Trebuchet MS" w:cs="Trebuchet MS" w:eastAsia="Trebuchet MS" w:hAnsi="Trebuchet MS"/>
                <w:sz w:val="10"/>
                <w:szCs w:val="10"/>
                <w:color w:val="auto"/>
              </w:rPr>
              <w:t>Pre-challenge</w:t>
            </w:r>
          </w:p>
        </w:tc>
        <w:tc>
          <w:tcPr>
            <w:tcW w:w="700" w:type="dxa"/>
            <w:vAlign w:val="bottom"/>
            <w:vMerge w:val="restart"/>
          </w:tcPr>
          <w:p>
            <w:pPr>
              <w:jc w:val="center"/>
              <w:ind w:right="10"/>
              <w:spacing w:after="0"/>
              <w:rPr>
                <w:sz w:val="20"/>
                <w:szCs w:val="20"/>
                <w:color w:val="auto"/>
              </w:rPr>
            </w:pPr>
            <w:r>
              <w:rPr>
                <w:rFonts w:ascii="Trebuchet MS" w:cs="Trebuchet MS" w:eastAsia="Trebuchet MS" w:hAnsi="Trebuchet MS"/>
                <w:sz w:val="10"/>
                <w:szCs w:val="10"/>
                <w:color w:val="auto"/>
              </w:rPr>
              <w:t>7 hrs post</w:t>
            </w:r>
          </w:p>
        </w:tc>
        <w:tc>
          <w:tcPr>
            <w:tcW w:w="580" w:type="dxa"/>
            <w:vAlign w:val="bottom"/>
            <w:vMerge w:val="restart"/>
          </w:tcPr>
          <w:p>
            <w:pPr>
              <w:jc w:val="center"/>
              <w:spacing w:after="0"/>
              <w:rPr>
                <w:sz w:val="20"/>
                <w:szCs w:val="20"/>
                <w:color w:val="auto"/>
              </w:rPr>
            </w:pPr>
            <w:r>
              <w:rPr>
                <w:rFonts w:ascii="Trebuchet MS" w:cs="Trebuchet MS" w:eastAsia="Trebuchet MS" w:hAnsi="Trebuchet MS"/>
                <w:sz w:val="10"/>
                <w:szCs w:val="10"/>
                <w:color w:val="auto"/>
              </w:rPr>
              <w:t>24 hrs post</w:t>
            </w:r>
          </w:p>
        </w:tc>
        <w:tc>
          <w:tcPr>
            <w:tcW w:w="0" w:type="dxa"/>
            <w:vAlign w:val="bottom"/>
          </w:tcPr>
          <w:p>
            <w:pPr>
              <w:spacing w:after="0"/>
              <w:rPr>
                <w:sz w:val="1"/>
                <w:szCs w:val="1"/>
                <w:color w:val="auto"/>
              </w:rPr>
            </w:pPr>
          </w:p>
        </w:tc>
      </w:tr>
      <w:tr>
        <w:trPr>
          <w:trHeight w:val="92"/>
        </w:trPr>
        <w:tc>
          <w:tcPr>
            <w:tcW w:w="8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Trebuchet MS" w:cs="Trebuchet MS" w:eastAsia="Trebuchet MS" w:hAnsi="Trebuchet MS"/>
                <w:sz w:val="10"/>
                <w:szCs w:val="10"/>
                <w:color w:val="auto"/>
              </w:rPr>
              <w:t>Allergen</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rebuchet MS" w:cs="Trebuchet MS" w:eastAsia="Trebuchet MS" w:hAnsi="Trebuchet MS"/>
                <w:sz w:val="10"/>
                <w:szCs w:val="10"/>
                <w:color w:val="auto"/>
              </w:rPr>
              <w:t>Allergen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Trebuchet MS" w:cs="Trebuchet MS" w:eastAsia="Trebuchet MS" w:hAnsi="Trebuchet MS"/>
                <w:sz w:val="10"/>
                <w:szCs w:val="10"/>
                <w:color w:val="auto"/>
              </w:rPr>
              <w:t>Challenge #1</w:t>
            </w: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rebuchet MS" w:cs="Trebuchet MS" w:eastAsia="Trebuchet MS" w:hAnsi="Trebuchet MS"/>
                <w:sz w:val="10"/>
                <w:szCs w:val="10"/>
                <w:color w:val="auto"/>
              </w:rPr>
              <w:t>Challenge #2</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-232410</wp:posOffset>
            </wp:positionV>
            <wp:extent cx="2230755" cy="87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2230755" cy="87630"/>
                    </a:xfrm>
                    <a:prstGeom prst="rect">
                      <a:avLst/>
                    </a:prstGeom>
                    <a:noFill/>
                  </pic:spPr>
                </pic:pic>
              </a:graphicData>
            </a:graphic>
          </wp:anchor>
        </w:drawing>
      </w:r>
    </w:p>
    <w:p>
      <w:pPr>
        <w:spacing w:after="0" w:line="205" w:lineRule="exact"/>
        <w:rPr>
          <w:sz w:val="20"/>
          <w:szCs w:val="20"/>
          <w:color w:val="auto"/>
        </w:rPr>
      </w:pPr>
    </w:p>
    <w:p>
      <w:pPr>
        <w:ind w:right="560" w:firstLine="480"/>
        <w:spacing w:after="0" w:line="246" w:lineRule="auto"/>
        <w:rPr>
          <w:sz w:val="20"/>
          <w:szCs w:val="20"/>
          <w:color w:val="auto"/>
        </w:rPr>
      </w:pPr>
      <w:r>
        <w:rPr>
          <w:rFonts w:ascii="Times New Roman" w:cs="Times New Roman" w:eastAsia="Times New Roman" w:hAnsi="Times New Roman"/>
          <w:sz w:val="20"/>
          <w:szCs w:val="20"/>
          <w:color w:val="auto"/>
        </w:rPr>
        <w:t>The positive proof of concept data generated in the ETESIAN study supports further development in the broader asthma population, however, advancing any future clinical studies in asthma would be based on an evaluation of the competitive landscape, the potential for strategic partnerships and capital availability.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Briquilimab in Other Mast Cell Disorders</w:t>
      </w:r>
    </w:p>
    <w:p>
      <w:pPr>
        <w:spacing w:after="0" w:line="177" w:lineRule="exact"/>
        <w:rPr>
          <w:sz w:val="20"/>
          <w:szCs w:val="20"/>
          <w:color w:val="auto"/>
        </w:rPr>
      </w:pPr>
    </w:p>
    <w:p>
      <w:pPr>
        <w:ind w:right="400" w:firstLine="480"/>
        <w:spacing w:after="0" w:line="268" w:lineRule="auto"/>
        <w:rPr>
          <w:sz w:val="20"/>
          <w:szCs w:val="20"/>
          <w:color w:val="auto"/>
        </w:rPr>
      </w:pPr>
      <w:r>
        <w:rPr>
          <w:rFonts w:ascii="Times New Roman" w:cs="Times New Roman" w:eastAsia="Times New Roman" w:hAnsi="Times New Roman"/>
          <w:sz w:val="19"/>
          <w:szCs w:val="19"/>
          <w:color w:val="auto"/>
        </w:rPr>
        <w:t>Mast cells may also be the key cellular target for a number of other inflammatory or autoimmune diseases outside of the chronic urticarias and asthma, such as atopic dermatitis, prurigo nodularis and food allergies.</w:t>
      </w:r>
    </w:p>
    <w:p>
      <w:pPr>
        <w:spacing w:after="0" w:line="152"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Atopic dermatitis is a chronic disease that causes inflammation, redness, and irritation of the skin. It is a common condition that usually begins in childhood; however, anyone can get the disease at any age. Atopic dermatitis causes the skin to become extremely itchy. In most cases, there are periods of time when the disease is worse, called flares, followed by periods when the skin improves or clears up entirely, called remissions. Treatments include moisturizers, topical steroids, immunomodulators (tacrolimus and pimecrolimus) and biologic therapies (dupilumab). Mast cells may play an important role in the disease and agents that modulate mast cells may provide benefit to patients.</w:t>
      </w:r>
    </w:p>
    <w:p>
      <w:pPr>
        <w:spacing w:after="0" w:line="170" w:lineRule="exact"/>
        <w:rPr>
          <w:sz w:val="20"/>
          <w:szCs w:val="20"/>
          <w:color w:val="auto"/>
        </w:rPr>
      </w:pPr>
    </w:p>
    <w:p>
      <w:pPr>
        <w:ind w:right="20" w:firstLine="480"/>
        <w:spacing w:after="0" w:line="248" w:lineRule="auto"/>
        <w:rPr>
          <w:sz w:val="20"/>
          <w:szCs w:val="20"/>
          <w:color w:val="auto"/>
        </w:rPr>
      </w:pPr>
      <w:r>
        <w:rPr>
          <w:rFonts w:ascii="Times New Roman" w:cs="Times New Roman" w:eastAsia="Times New Roman" w:hAnsi="Times New Roman"/>
          <w:sz w:val="20"/>
          <w:szCs w:val="20"/>
          <w:color w:val="auto"/>
        </w:rPr>
        <w:t>Prurigo Nodularis is also a disease that manifests in the skin. Patients develop severe itch and firm bumps on the skin, called nodules, that may lead to loss of sleep and bleeding due to scratching. Degranulation of mast cells in the skin is thought to trigger peripheral sensory neurons in the skin leading to itch. Various medications are used to treat Prurigo Nodularis including anti-itch creams and topical steroids. For cases that remain uncontrolled physicians may prescribe antihistamines or biologics such as dupilumab.</w:t>
      </w:r>
    </w:p>
    <w:p>
      <w:pPr>
        <w:spacing w:after="0" w:line="172" w:lineRule="exact"/>
        <w:rPr>
          <w:sz w:val="20"/>
          <w:szCs w:val="20"/>
          <w:color w:val="auto"/>
        </w:rPr>
      </w:pPr>
    </w:p>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Food allergy is an immune-mediated disease characterized by an IgE-mediated response to specific dietary antigens, which leads to allergic hypersensitivity reactions. In IgE-mediated food allergies, allergic reactions from exposure to the food result from receptor-bound allergen-specific IgE antibodies binding to the food proteins, leading to the cross-linking of IgE receptors on mast cells and subsequently mast cell activation and degranulation; resulting in the release of chemical mediators of inflammation. Symptoms of food allergy can range from mild symptoms, such as hives and itching to potentially fatal systemic allergic reactions including anaphylaxis. Treatments include antihistamines and steroids for mild to moderate reactions, epinephrine for severe reactions and anaphylaxis, as well as preventative therapies such as oral immunotherapy or biologic therapies (omalizumab).</w:t>
      </w:r>
    </w:p>
    <w:p>
      <w:pPr>
        <w:spacing w:after="0" w:line="171" w:lineRule="exact"/>
        <w:rPr>
          <w:sz w:val="20"/>
          <w:szCs w:val="20"/>
          <w:color w:val="auto"/>
        </w:rPr>
      </w:pPr>
    </w:p>
    <w:p>
      <w:pPr>
        <w:ind w:right="220" w:firstLine="480"/>
        <w:spacing w:after="0" w:line="246" w:lineRule="auto"/>
        <w:rPr>
          <w:sz w:val="20"/>
          <w:szCs w:val="20"/>
          <w:color w:val="auto"/>
        </w:rPr>
      </w:pPr>
      <w:r>
        <w:rPr>
          <w:rFonts w:ascii="Times New Roman" w:cs="Times New Roman" w:eastAsia="Times New Roman" w:hAnsi="Times New Roman"/>
          <w:sz w:val="20"/>
          <w:szCs w:val="20"/>
          <w:color w:val="auto"/>
        </w:rPr>
        <w:t>We have performed pre-clinical evaluation of briquilimab as a potential therapeutic in these and a number of other mast cell driven diseases and expect to continue to expand our portfolio of mast cell indications in clinical development in the future.</w:t>
      </w:r>
    </w:p>
    <w:p>
      <w:pPr>
        <w:sectPr>
          <w:pgSz w:w="12240" w:h="15840" w:orient="portrait"/>
          <w:cols w:equalWidth="0" w:num="1">
            <w:col w:w="9360"/>
          </w:cols>
          <w:pgMar w:left="1440" w:top="950" w:right="1440" w:bottom="34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360"/>
          </w:cols>
          <w:pgMar w:left="1440" w:top="950" w:right="1440" w:bottom="348"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Briquilimab in Non-Mast Cell Driven Disorders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Briquilimab as a Conditioning Agent for SCID Patients Undergoing Re-Transplantation</w:t>
      </w:r>
    </w:p>
    <w:p>
      <w:pPr>
        <w:spacing w:after="0" w:line="177" w:lineRule="exact"/>
        <w:rPr>
          <w:sz w:val="20"/>
          <w:szCs w:val="20"/>
          <w:color w:val="auto"/>
        </w:rPr>
      </w:pPr>
    </w:p>
    <w:p>
      <w:pPr>
        <w:ind w:right="240" w:firstLine="480"/>
        <w:spacing w:after="0" w:line="264" w:lineRule="auto"/>
        <w:rPr>
          <w:sz w:val="20"/>
          <w:szCs w:val="20"/>
          <w:color w:val="auto"/>
        </w:rPr>
      </w:pPr>
      <w:r>
        <w:rPr>
          <w:rFonts w:ascii="Times New Roman" w:cs="Times New Roman" w:eastAsia="Times New Roman" w:hAnsi="Times New Roman"/>
          <w:sz w:val="19"/>
          <w:szCs w:val="19"/>
          <w:color w:val="auto"/>
        </w:rPr>
        <w:t>We historically funded a program developing briquilimab as a conditioning agent for SCID patients undergoing a stem cell re-transplantation. Due to genetic errors at birth, SCID patients do not possess fully functional immune systems, which results in chronic infections, failure to thrive and significantly decreased lifespans. If available, these patients are typically given a transplant from a close relative with the goal of allowing healthy donor stem cells to establish in the patient’s bone marrow, leading to production of normal immune cells. However, stem cell transplants are not universally successful. SCID patients with poor transplant outcomes are typically dependent on external therapies such as intravenous immunoglobin (“IVIG”) and often have poor immunity, leading to chronic infections and decreased lifespans. SCID patients who fail transplant are not usually given a second transplant due to their fragile health and the significant toxicities of current conditioning agents.</w:t>
      </w:r>
    </w:p>
    <w:p>
      <w:pPr>
        <w:spacing w:after="0" w:line="15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We conducted a Phase 1/2 dose escalation open label clinical trial to evaluate briquilimab as the sole conditioning agent to achieve HSC engraftment in SCID patients undergoing stem cell re-transplantation. The primary endpoint in Phase 1 was to assess the safety and tolerability of briquilimab as a conditioning agent in SCID patients. The two primary efficacy endpoints defined in the Phase 2 study are the proportion of patients achieving adequate donor HSC engraftment and the proportion of patients achieving naïve CD4+ T cell production greater than or equal to 85 cells/uL, a level expected to provide immune reconstitution, during weeks 36 to 104 post-transplant. Secondary endpoints include durability of naïve T cell production, incidence and severity of GvHD, hematopoietic recovery and pharmacokinetic properties of briquilimab. Patients received a single intravenous infusion of briquilimab on study day 0 in one of four dose cohorts: 0.1 mg/kg, 0.3 mg/kg, 0.6mg/kg or 1.0 mg/kg. Patients were to potentially be followed for up to five years following transplant.</w:t>
      </w:r>
    </w:p>
    <w:p>
      <w:pPr>
        <w:spacing w:after="0" w:line="174"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We believe briquilimab has enabled immune reconstitution for patients based on naïve CD4+ T-cell levels and has shown clinical benefit in T-B-SCID patients in a re-transplant setting. Patients have shown resolution of chronic infections, independence from or reduction of IVIG therapy and antibody response to vaccine challenge. Through December 31, 2024, in this open label clinical trial, eleven T-B-SCID re-transplant patients have been treated in the ongoing SCID Phase 1/2 study. Seven of the eleven transplanted patients with 1- 5 years of follow-up have shown engraftment of donor cells and production of functional immune cells. No briquilimab treatment-related “SAEs” have been reported through December 31, 2023 in this clinical trial. In July 2025, the SCID program was discontinued to focus resources exclusively on our mast cell disease development programs.</w:t>
      </w:r>
    </w:p>
    <w:p>
      <w:pPr>
        <w:spacing w:after="0" w:line="171" w:lineRule="exact"/>
        <w:rPr>
          <w:sz w:val="20"/>
          <w:szCs w:val="20"/>
          <w:color w:val="auto"/>
        </w:rPr>
      </w:pPr>
    </w:p>
    <w:p>
      <w:pPr>
        <w:ind w:right="80" w:firstLine="480"/>
        <w:spacing w:after="0" w:line="246" w:lineRule="auto"/>
        <w:rPr>
          <w:sz w:val="20"/>
          <w:szCs w:val="20"/>
          <w:color w:val="auto"/>
        </w:rPr>
      </w:pPr>
      <w:r>
        <w:rPr>
          <w:rFonts w:ascii="Times New Roman" w:cs="Times New Roman" w:eastAsia="Times New Roman" w:hAnsi="Times New Roman"/>
          <w:sz w:val="20"/>
          <w:szCs w:val="20"/>
          <w:color w:val="auto"/>
        </w:rPr>
        <w:t>The FDA has granted rare pediatric disease designation to briquilimab as a conditioning treatment for patients with SCID. In addition, both the FDA and the European Medicines Agency (“EMA”) have granted orphan drug designation to briquilimab for conditioning treatment prior to hematopoietic stem cell transplantation.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Stem Cell Transplant Indications</w:t>
      </w:r>
    </w:p>
    <w:p>
      <w:pPr>
        <w:spacing w:after="0" w:line="177" w:lineRule="exact"/>
        <w:rPr>
          <w:sz w:val="20"/>
          <w:szCs w:val="20"/>
          <w:color w:val="auto"/>
        </w:rPr>
      </w:pPr>
    </w:p>
    <w:p>
      <w:pPr>
        <w:ind w:right="180" w:firstLine="480"/>
        <w:spacing w:after="0" w:line="248" w:lineRule="auto"/>
        <w:rPr>
          <w:sz w:val="20"/>
          <w:szCs w:val="20"/>
          <w:color w:val="auto"/>
        </w:rPr>
      </w:pPr>
      <w:r>
        <w:rPr>
          <w:rFonts w:ascii="Times New Roman" w:cs="Times New Roman" w:eastAsia="Times New Roman" w:hAnsi="Times New Roman"/>
          <w:sz w:val="20"/>
          <w:szCs w:val="20"/>
          <w:color w:val="auto"/>
        </w:rPr>
        <w:t>We have historically evaluated briquilimab in a number of stem cell transplant indications, including patients with Fanconi Anemia (“FA”), Sickle Cell Disease (“SCD”), Chronic Granulomatous Disease (“CGD”), GATA-2 MDS and others through ISTs run by partners including the National Institute of Health (“NIH”), the National Heart, Lung, and Blood Institute, the National Institute of Allergy and Infectious Diseases, the National Cancer Institute and Stanford University.</w:t>
      </w:r>
    </w:p>
    <w:p>
      <w:pPr>
        <w:spacing w:after="0" w:line="172" w:lineRule="exact"/>
        <w:rPr>
          <w:sz w:val="20"/>
          <w:szCs w:val="20"/>
          <w:color w:val="auto"/>
        </w:rPr>
      </w:pPr>
    </w:p>
    <w:p>
      <w:pPr>
        <w:ind w:right="280" w:firstLine="480"/>
        <w:spacing w:after="0" w:line="246" w:lineRule="auto"/>
        <w:rPr>
          <w:sz w:val="20"/>
          <w:szCs w:val="20"/>
          <w:color w:val="auto"/>
        </w:rPr>
      </w:pPr>
      <w:r>
        <w:rPr>
          <w:rFonts w:ascii="Times New Roman" w:cs="Times New Roman" w:eastAsia="Times New Roman" w:hAnsi="Times New Roman"/>
          <w:sz w:val="20"/>
          <w:szCs w:val="20"/>
          <w:color w:val="auto"/>
        </w:rPr>
        <w:t>While promising data has been generated to date in FA, SCD, CGD and GATA-2 MDS, given our corporate focus on mast cell driven diseases, we have discontinued these ISTs and we have no plans to pursue additional clinical development in these indications.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77" w:lineRule="exact"/>
        <w:rPr>
          <w:sz w:val="20"/>
          <w:szCs w:val="20"/>
          <w:color w:val="auto"/>
        </w:rPr>
      </w:pPr>
    </w:p>
    <w:p>
      <w:pPr>
        <w:ind w:right="480" w:firstLine="480"/>
        <w:spacing w:after="0" w:line="246" w:lineRule="auto"/>
        <w:rPr>
          <w:sz w:val="20"/>
          <w:szCs w:val="20"/>
          <w:color w:val="auto"/>
        </w:rPr>
      </w:pPr>
      <w:r>
        <w:rPr>
          <w:rFonts w:ascii="Times New Roman" w:cs="Times New Roman" w:eastAsia="Times New Roman" w:hAnsi="Times New Roman"/>
          <w:sz w:val="20"/>
          <w:szCs w:val="20"/>
          <w:color w:val="auto"/>
        </w:rPr>
        <w:t>Our goal is to develop and commercialize briquilimab as a safe and efficacious therapeutic to address the significant unmet medical need for patients suffering from mast cell driven diseases such as CSU, CIndU and asthma. As part of our strategy, we aim to:</w:t>
      </w:r>
    </w:p>
    <w:p>
      <w:pPr>
        <w:spacing w:after="0" w:line="173" w:lineRule="exact"/>
        <w:rPr>
          <w:sz w:val="20"/>
          <w:szCs w:val="20"/>
          <w:color w:val="auto"/>
        </w:rPr>
      </w:pPr>
    </w:p>
    <w:p>
      <w:pPr>
        <w:jc w:val="both"/>
        <w:ind w:right="240" w:firstLine="480"/>
        <w:spacing w:after="0" w:line="266" w:lineRule="auto"/>
        <w:rPr>
          <w:sz w:val="20"/>
          <w:szCs w:val="20"/>
          <w:color w:val="auto"/>
        </w:rPr>
      </w:pPr>
      <w:r>
        <w:rPr>
          <w:rFonts w:ascii="Times New Roman" w:cs="Times New Roman" w:eastAsia="Times New Roman" w:hAnsi="Times New Roman"/>
          <w:sz w:val="19"/>
          <w:szCs w:val="19"/>
          <w:b w:val="1"/>
          <w:bCs w:val="1"/>
          <w:i w:val="1"/>
          <w:iCs w:val="1"/>
          <w:color w:val="auto"/>
        </w:rPr>
        <w:t xml:space="preserve">Build a leading biotechnology company to enable cures via immune modulation. </w:t>
      </w:r>
      <w:r>
        <w:rPr>
          <w:rFonts w:ascii="Times New Roman" w:cs="Times New Roman" w:eastAsia="Times New Roman" w:hAnsi="Times New Roman"/>
          <w:sz w:val="19"/>
          <w:szCs w:val="19"/>
          <w:color w:val="auto"/>
        </w:rPr>
        <w:t>We are bringing together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 team of biotech veterans, leading academic institutions and a strong syndicate of healthcare-focused investors to achieve our vision of developing and commercializing therapeutics with a focus on mast cell driven diseases.</w:t>
      </w:r>
    </w:p>
    <w:p>
      <w:pPr>
        <w:sectPr>
          <w:pgSz w:w="12240" w:h="15840" w:orient="portrait"/>
          <w:cols w:equalWidth="0" w:num="1">
            <w:col w:w="9360"/>
          </w:cols>
          <w:pgMar w:left="1440" w:top="942" w:right="1440" w:bottom="348"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360"/>
          </w:cols>
          <w:pgMar w:left="1440" w:top="942" w:right="1440" w:bottom="348" w:gutter="0" w:footer="0" w:header="0"/>
          <w:type w:val="continuous"/>
        </w:sectPr>
      </w:pPr>
    </w:p>
    <w:bookmarkStart w:id="16" w:name="page17"/>
    <w:bookmarkEnd w:id="16"/>
    <w:p>
      <w:pPr>
        <w:ind w:right="100" w:firstLine="480"/>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Advance the development of briquilimab as a chronic therapeutic in mast cell driven diseases. </w:t>
      </w:r>
      <w:r>
        <w:rPr>
          <w:rFonts w:ascii="Times New Roman" w:cs="Times New Roman" w:eastAsia="Times New Roman" w:hAnsi="Times New Roman"/>
          <w:sz w:val="20"/>
          <w:szCs w:val="20"/>
          <w:color w:val="auto"/>
        </w:rPr>
        <w:t>We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focused on developing briquilimab as a repeat dose therapy for disorders of mast cells, such as CSU, CIndU, asthma and additional potential mast cell driven indications.</w:t>
      </w:r>
    </w:p>
    <w:p>
      <w:pPr>
        <w:spacing w:after="0" w:line="175"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Commercialize our product candidates to expand the use of effective and safe mast cell therapies for patients and physicians in our target markets. </w:t>
      </w:r>
      <w:r>
        <w:rPr>
          <w:rFonts w:ascii="Times New Roman" w:cs="Times New Roman" w:eastAsia="Times New Roman" w:hAnsi="Times New Roman"/>
          <w:sz w:val="19"/>
          <w:szCs w:val="19"/>
          <w:color w:val="auto"/>
        </w:rPr>
        <w:t>If approved, we plan to bring our product candidates to the American,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European and Japanese markets, focusing on the top physicians who administer the majority of mast cell therapies.</w:t>
      </w:r>
    </w:p>
    <w:p>
      <w:pPr>
        <w:spacing w:after="0" w:line="159" w:lineRule="exact"/>
        <w:rPr>
          <w:sz w:val="20"/>
          <w:szCs w:val="20"/>
          <w:color w:val="auto"/>
        </w:rPr>
      </w:pPr>
    </w:p>
    <w:p>
      <w:pPr>
        <w:ind w:right="100" w:firstLine="48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Form and strengthen strategic collaborations with leading industry and academic organizations to further develop our pipeline, unlock the commercial potential of our portfolio and provide enabling technologies for collaborators. </w:t>
      </w:r>
      <w:r>
        <w:rPr>
          <w:rFonts w:ascii="Times New Roman" w:cs="Times New Roman" w:eastAsia="Times New Roman" w:hAnsi="Times New Roman"/>
          <w:sz w:val="19"/>
          <w:szCs w:val="19"/>
          <w:color w:val="auto"/>
        </w:rPr>
        <w:t>We intend to continue collaborations with our existing partners and enter new strategic partnerships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develop additional candidates, generate evidence, and commercialize new products in the field of mast cell therapies.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Agreements with Amgen</w:t>
      </w:r>
    </w:p>
    <w:p>
      <w:pPr>
        <w:spacing w:after="0" w:line="177" w:lineRule="exact"/>
        <w:rPr>
          <w:sz w:val="20"/>
          <w:szCs w:val="20"/>
          <w:color w:val="auto"/>
        </w:rPr>
      </w:pPr>
    </w:p>
    <w:p>
      <w:pPr>
        <w:ind w:right="40" w:firstLine="480"/>
        <w:spacing w:after="0" w:line="264" w:lineRule="auto"/>
        <w:rPr>
          <w:sz w:val="20"/>
          <w:szCs w:val="20"/>
          <w:color w:val="auto"/>
        </w:rPr>
      </w:pPr>
      <w:r>
        <w:rPr>
          <w:rFonts w:ascii="Times New Roman" w:cs="Times New Roman" w:eastAsia="Times New Roman" w:hAnsi="Times New Roman"/>
          <w:sz w:val="19"/>
          <w:szCs w:val="19"/>
          <w:color w:val="auto"/>
        </w:rPr>
        <w:t>In November 2019, we entered into a worldwide exclusive license agreement with Amgen for briquilimab (formerly AMG-191 and JSP191) in all indications and territories worldwide, which also includes translational science and materials from Stanford University. We were assigned and accepted Amgen’s rights and obligations, effective November 21, 2019, for the Investigator Sponsored Research Agreement (“ISRA”), entered into in June 2013, between Amgen and The Board of Trustees of the Leland Stanford Junior University (“Stanford”) and Quality Agreement between Amgen and Stanford, effective as of October 7, 2015. Under the ISRA, we received an option to negotiate a definitive license with Stanford for rights to certain Stanford intellectual property related to the study of briquilimab in exchange for an option exercise fee of $1.0 million, payable over a two-year period (the “Option”). We exercised the Option to Stanford docket S06-265 “Antibody-based clearance of endogenous stem cell niches prior to transplantation of bone marrow or HSCs (KIT)” granted by Stanford under the ISRA on June 2, 2020. As a result, we have worldwide exclusive rights to develop and commercialize briquilimab in all indications, including stem cell transplants. The issued U.S. patents would be expected to expire in 2027, absent any applicable patent term extensions.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Stanford</w:t>
      </w:r>
    </w:p>
    <w:p>
      <w:pPr>
        <w:spacing w:after="0" w:line="177" w:lineRule="exact"/>
        <w:rPr>
          <w:sz w:val="20"/>
          <w:szCs w:val="20"/>
          <w:color w:val="auto"/>
        </w:rPr>
      </w:pPr>
    </w:p>
    <w:p>
      <w:pPr>
        <w:jc w:val="both"/>
        <w:ind w:right="320" w:firstLine="480"/>
        <w:spacing w:after="0" w:line="248" w:lineRule="auto"/>
        <w:rPr>
          <w:sz w:val="20"/>
          <w:szCs w:val="20"/>
          <w:color w:val="auto"/>
        </w:rPr>
      </w:pPr>
      <w:r>
        <w:rPr>
          <w:rFonts w:ascii="Times New Roman" w:cs="Times New Roman" w:eastAsia="Times New Roman" w:hAnsi="Times New Roman"/>
          <w:sz w:val="20"/>
          <w:szCs w:val="20"/>
          <w:color w:val="auto"/>
        </w:rPr>
        <w:t>In March 2021, we entered into an exclusive license agreement with respect to the use of briquilimab from the Stanford Office of Technology Licensing to license U.S. Patent Application Serial Number 60/856,435, filed Nov. 3, 2006, and U.S. Patent Application Serial Number 12/447,634 (publication number US 2010/0226927 Al) and know-how for the purpose of depleting endogenous blood stem cells in patients for whom hematopoietic cell transplantation is indicated.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77"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20"/>
          <w:szCs w:val="20"/>
          <w:color w:val="auto"/>
        </w:rPr>
        <w:t>Our success depends in part on our ability to obtain and maintain proprietary protection for our product candidates and other discoveries, inventions, trade secrets and know-how that are critical to our business operations. It also depends in part on our ability to operate without infringing the proprietary rights of others, and in part, on our ability to prevent others from infringing our proprietary rights. We have a series of in-licensed patents outlined below with an additional pending patent application in the United States.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In-licensed Amgen Portfolio</w:t>
      </w:r>
    </w:p>
    <w:p>
      <w:pPr>
        <w:spacing w:after="0" w:line="177" w:lineRule="exact"/>
        <w:rPr>
          <w:sz w:val="20"/>
          <w:szCs w:val="20"/>
          <w:color w:val="auto"/>
        </w:rPr>
      </w:pPr>
    </w:p>
    <w:p>
      <w:pPr>
        <w:ind w:right="40" w:firstLine="480"/>
        <w:spacing w:after="0" w:line="248" w:lineRule="auto"/>
        <w:rPr>
          <w:sz w:val="20"/>
          <w:szCs w:val="20"/>
          <w:color w:val="auto"/>
        </w:rPr>
      </w:pPr>
      <w:r>
        <w:rPr>
          <w:rFonts w:ascii="Times New Roman" w:cs="Times New Roman" w:eastAsia="Times New Roman" w:hAnsi="Times New Roman"/>
          <w:sz w:val="20"/>
          <w:szCs w:val="20"/>
          <w:color w:val="auto"/>
        </w:rPr>
        <w:t>We have exclusively licensed a patent family from Amgen applicable to our clinical development programs that contains patents and applications directed to a humanized KIT antibody. As of March 25, 2026, this patent portfolio includes three issued U.S. patents and one European patent, as well as granted patents in Australia, Canada, Japan, and Mexico, and pending patent applications in Europe and Hong Kong. The issued U.S. and European patents would be expected to expire in 2027, absent any applicable patent term extensions.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In-licensed Stanford Portfolio</w:t>
      </w:r>
    </w:p>
    <w:p>
      <w:pPr>
        <w:spacing w:after="0" w:line="177" w:lineRule="exact"/>
        <w:rPr>
          <w:sz w:val="20"/>
          <w:szCs w:val="20"/>
          <w:color w:val="auto"/>
        </w:rPr>
      </w:pPr>
    </w:p>
    <w:p>
      <w:pPr>
        <w:ind w:right="120" w:firstLine="480"/>
        <w:spacing w:after="0" w:line="265" w:lineRule="auto"/>
        <w:rPr>
          <w:sz w:val="20"/>
          <w:szCs w:val="20"/>
          <w:color w:val="auto"/>
        </w:rPr>
      </w:pPr>
      <w:r>
        <w:rPr>
          <w:rFonts w:ascii="Times New Roman" w:cs="Times New Roman" w:eastAsia="Times New Roman" w:hAnsi="Times New Roman"/>
          <w:sz w:val="19"/>
          <w:szCs w:val="19"/>
          <w:color w:val="auto"/>
        </w:rPr>
        <w:t>We have an exclusive license in the field of use of briquilimab for the purpose of depleting endogenous blood stem cells in patients for whom hematopoietic cell transplantation is indicated to a patent family from Stanford University applicable to targeted conditioning that contains patents and applications directed to immunodepletion of endogenous stem cell niche prior to hematopoietic stem cell transplantation. As of March 25, 2026, this patent</w:t>
      </w:r>
    </w:p>
    <w:p>
      <w:pPr>
        <w:sectPr>
          <w:pgSz w:w="12240" w:h="15840" w:orient="portrait"/>
          <w:cols w:equalWidth="0" w:num="1">
            <w:col w:w="9360"/>
          </w:cols>
          <w:pgMar w:left="1440" w:top="948" w:right="1440" w:bottom="348"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360"/>
          </w:cols>
          <w:pgMar w:left="1440" w:top="948" w:right="1440" w:bottom="348" w:gutter="0" w:footer="0" w:header="0"/>
          <w:type w:val="continuous"/>
        </w:sectPr>
      </w:pPr>
    </w:p>
    <w:bookmarkStart w:id="17" w:name="page18"/>
    <w:bookmarkEnd w:id="17"/>
    <w:p>
      <w:pPr>
        <w:ind w:right="300"/>
        <w:spacing w:after="0" w:line="246" w:lineRule="auto"/>
        <w:rPr>
          <w:sz w:val="20"/>
          <w:szCs w:val="20"/>
          <w:color w:val="auto"/>
        </w:rPr>
      </w:pPr>
      <w:r>
        <w:rPr>
          <w:rFonts w:ascii="Times New Roman" w:cs="Times New Roman" w:eastAsia="Times New Roman" w:hAnsi="Times New Roman"/>
          <w:sz w:val="20"/>
          <w:szCs w:val="20"/>
          <w:color w:val="auto"/>
        </w:rPr>
        <w:t>portfolio includes two issued U.S. patents and one European patent, as well as pending European and Hong Kong patent applications. The issued U.S. and European patents would be expected to expire in 2027, absent any applicable patent term extensions.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Jasper Portfolio</w:t>
      </w:r>
    </w:p>
    <w:p>
      <w:pPr>
        <w:spacing w:after="0" w:line="17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As of March 25, 2026, we own two patent families directed to compositions and/or methods for hematopoietic stem cell transplantation, one patent family directed to other methods of treating certain hematopoietic malignancies, three patent families directed to treating mast cell-driven disease, and one patent family directed to therapeutic efficacy testing models. These patent families include one pending U.S. provisional applications, three pending U.S. utility applications, two pending Patent Cooperation Treaty applications, and applications pending certain other jurisdictions. Any patents that grant from these applications would be expected to expire in 2042 to 2046, absent any applicable patent term extensions.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Intellectual Property</w:t>
      </w:r>
    </w:p>
    <w:p>
      <w:pPr>
        <w:spacing w:after="0" w:line="177" w:lineRule="exact"/>
        <w:rPr>
          <w:sz w:val="20"/>
          <w:szCs w:val="20"/>
          <w:color w:val="auto"/>
        </w:rPr>
      </w:pPr>
    </w:p>
    <w:p>
      <w:pPr>
        <w:ind w:right="120" w:firstLine="480"/>
        <w:spacing w:after="0" w:line="250" w:lineRule="auto"/>
        <w:rPr>
          <w:sz w:val="20"/>
          <w:szCs w:val="20"/>
          <w:color w:val="auto"/>
        </w:rPr>
      </w:pPr>
      <w:r>
        <w:rPr>
          <w:rFonts w:ascii="Times New Roman" w:cs="Times New Roman" w:eastAsia="Times New Roman" w:hAnsi="Times New Roman"/>
          <w:sz w:val="20"/>
          <w:szCs w:val="20"/>
          <w:color w:val="auto"/>
        </w:rPr>
        <w:t>We also rely on trade secrets, including know-how, confidential information, unpatented technologies and other proprietary information, to strengthen or enhance our competitive position, and prevent competitors from reverse engineering or copying our technologies. We maintain, as trade secrets, information relating our product candidates currently in development, as well as information related to our business strategy and business methods. However, trade secrets and confidential know-how are difficult to protect. To avoid inadvertent and improper disclosure of trade secrets, and to avoid the risks of former employees using these trade secrets to gain future employment, it is our policy to require employees, consultants and independent contractors to assign to us all rights to intellectual property they develop in connection with their employment with or services for us.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 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16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these rights may not be respected in the future or may be circumvented or challenged (and potentially invalidated) in a legal proceeding in any jurisdiction where we have intellectual property rights. In addition, the laws of various foreign countries may not afford the same protections or assurances to the same extent as the laws in the United States. See the section titled “Risk Factors — Risks Related to Our Intellectual Property” for additional information regarding these and other risks related to intellectual property.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77" w:lineRule="exact"/>
        <w:rPr>
          <w:sz w:val="20"/>
          <w:szCs w:val="20"/>
          <w:color w:val="auto"/>
        </w:rPr>
      </w:pPr>
    </w:p>
    <w:p>
      <w:pPr>
        <w:ind w:right="100" w:firstLine="480"/>
        <w:spacing w:after="0" w:line="265" w:lineRule="auto"/>
        <w:rPr>
          <w:sz w:val="20"/>
          <w:szCs w:val="20"/>
          <w:color w:val="auto"/>
        </w:rPr>
      </w:pPr>
      <w:r>
        <w:rPr>
          <w:rFonts w:ascii="Times New Roman" w:cs="Times New Roman" w:eastAsia="Times New Roman" w:hAnsi="Times New Roman"/>
          <w:sz w:val="19"/>
          <w:szCs w:val="19"/>
          <w:color w:val="auto"/>
        </w:rPr>
        <w:t>The industry we operate in is highly competitive and dynamic, subject to rapid technological change. We have competition in the market for both our product candidates and may face competition from large pharmaceutical and biotechnology companies, smaller pharmaceutical and biotechnology companies, specialty pharmaceutical companies, generic drug companies, academic institutions, government agencies, research institutions and others.</w:t>
      </w:r>
    </w:p>
    <w:p>
      <w:pPr>
        <w:spacing w:after="0" w:line="155" w:lineRule="exact"/>
        <w:rPr>
          <w:sz w:val="20"/>
          <w:szCs w:val="20"/>
          <w:color w:val="auto"/>
        </w:rPr>
      </w:pPr>
    </w:p>
    <w:p>
      <w:pPr>
        <w:ind w:right="600" w:firstLine="480"/>
        <w:spacing w:after="0" w:line="243" w:lineRule="auto"/>
        <w:rPr>
          <w:sz w:val="20"/>
          <w:szCs w:val="20"/>
          <w:color w:val="auto"/>
        </w:rPr>
      </w:pPr>
      <w:r>
        <w:rPr>
          <w:rFonts w:ascii="Times New Roman" w:cs="Times New Roman" w:eastAsia="Times New Roman" w:hAnsi="Times New Roman"/>
          <w:sz w:val="20"/>
          <w:szCs w:val="20"/>
          <w:color w:val="auto"/>
        </w:rPr>
        <w:t>We believe that our intellectual property, proprietary scientific knowledge, development experience and partnerships will provide us with competitive advantages in the market we operate in.</w:t>
      </w:r>
    </w:p>
    <w:p>
      <w:pPr>
        <w:spacing w:after="0" w:line="174" w:lineRule="exact"/>
        <w:rPr>
          <w:sz w:val="20"/>
          <w:szCs w:val="20"/>
          <w:color w:val="auto"/>
        </w:rPr>
      </w:pPr>
    </w:p>
    <w:p>
      <w:pPr>
        <w:ind w:right="100" w:firstLine="480"/>
        <w:spacing w:after="0" w:line="246" w:lineRule="auto"/>
        <w:rPr>
          <w:sz w:val="20"/>
          <w:szCs w:val="20"/>
          <w:color w:val="auto"/>
        </w:rPr>
      </w:pPr>
      <w:r>
        <w:rPr>
          <w:rFonts w:ascii="Times New Roman" w:cs="Times New Roman" w:eastAsia="Times New Roman" w:hAnsi="Times New Roman"/>
          <w:sz w:val="20"/>
          <w:szCs w:val="20"/>
          <w:color w:val="auto"/>
        </w:rPr>
        <w:t>We are aware of competing products and adjacent therapies, not limited to small molecules, biologics and cell therapies, that address the same domain of conditions we are targeting. The following list of competitors indicate companies that are directly competing with our product candidate.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360"/>
          </w:cols>
          <w:pgMar w:left="1440" w:top="948" w:right="1440" w:bottom="348" w:gutter="0" w:footer="0" w:header="0"/>
          <w:type w:val="continuous"/>
        </w:sectPr>
      </w:pPr>
    </w:p>
    <w:bookmarkStart w:id="18" w:name="page19"/>
    <w:bookmarkEnd w:id="18"/>
    <w:p>
      <w:pPr>
        <w:ind w:left="480"/>
        <w:spacing w:after="0"/>
        <w:rPr>
          <w:sz w:val="20"/>
          <w:szCs w:val="20"/>
          <w:color w:val="auto"/>
        </w:rPr>
      </w:pPr>
      <w:r>
        <w:rPr>
          <w:rFonts w:ascii="Times New Roman" w:cs="Times New Roman" w:eastAsia="Times New Roman" w:hAnsi="Times New Roman"/>
          <w:sz w:val="20"/>
          <w:szCs w:val="20"/>
          <w:color w:val="auto"/>
        </w:rPr>
        <w:t>Competitors for our briquilimab KIT targeted therapeutic program include the following:</w:t>
      </w:r>
    </w:p>
    <w:p>
      <w:pPr>
        <w:spacing w:after="0" w:line="177" w:lineRule="exact"/>
        <w:rPr>
          <w:sz w:val="20"/>
          <w:szCs w:val="20"/>
          <w:color w:val="auto"/>
        </w:rPr>
      </w:pPr>
    </w:p>
    <w:p>
      <w:pPr>
        <w:ind w:left="960" w:right="40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Celldex Therapeutics, Inc., which is developing an antibody to KIT that is being studied in mast cell diseases;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Blueprint Medicines, which is developing a small molecule KIT inhibitor for mast cell diseases;</w:t>
      </w:r>
    </w:p>
    <w:p>
      <w:pPr>
        <w:spacing w:after="0" w:line="176" w:lineRule="exact"/>
        <w:rPr>
          <w:rFonts w:ascii="Times New Roman" w:cs="Times New Roman" w:eastAsia="Times New Roman" w:hAnsi="Times New Roman"/>
          <w:sz w:val="20"/>
          <w:szCs w:val="20"/>
          <w:color w:val="auto"/>
        </w:rPr>
      </w:pPr>
    </w:p>
    <w:p>
      <w:pPr>
        <w:ind w:left="960" w:right="16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Novartis, Inc., which is developing a small molecule inhibitor to Bruton’s Tyrosine Kinase for mast cell diseases;</w:t>
      </w:r>
    </w:p>
    <w:p>
      <w:pPr>
        <w:spacing w:after="0" w:line="174" w:lineRule="exact"/>
        <w:rPr>
          <w:rFonts w:ascii="Times New Roman" w:cs="Times New Roman" w:eastAsia="Times New Roman" w:hAnsi="Times New Roman"/>
          <w:sz w:val="20"/>
          <w:szCs w:val="20"/>
          <w:color w:val="auto"/>
        </w:rPr>
      </w:pPr>
    </w:p>
    <w:p>
      <w:pPr>
        <w:ind w:left="960" w:right="32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Sanofi Aventis, Inc., which is developing an antibody to the Interleukin 4 receptor alpha for mast cell diseases;</w:t>
      </w:r>
    </w:p>
    <w:p>
      <w:pPr>
        <w:spacing w:after="0" w:line="174" w:lineRule="exact"/>
        <w:rPr>
          <w:rFonts w:ascii="Times New Roman" w:cs="Times New Roman" w:eastAsia="Times New Roman" w:hAnsi="Times New Roman"/>
          <w:sz w:val="20"/>
          <w:szCs w:val="20"/>
          <w:color w:val="auto"/>
        </w:rPr>
      </w:pPr>
    </w:p>
    <w:p>
      <w:pPr>
        <w:ind w:left="960" w:right="340" w:hanging="480"/>
        <w:spacing w:after="0" w:line="243" w:lineRule="auto"/>
        <w:tabs>
          <w:tab w:leader="none" w:pos="9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Evommune, Inc., which is developing a small-molecule antagonist of MRGPRX2 in mast cell driven diseases.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We do not currently have sales and marketing infrastructure to support commercial launch of our product candidates, if approved. We may build such capabilities in North America prior to potential launch of briquilimab. Outside of North America, we may rely on licensing, co-sale and co-promotion agreements with strategic partners for the commercialization of our product candidates. If we build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we would have to invest financial and management resources, some of which would have to be deployed prior to any confirmation that briquilimab will be approved.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77" w:lineRule="exact"/>
        <w:rPr>
          <w:sz w:val="20"/>
          <w:szCs w:val="20"/>
          <w:color w:val="auto"/>
        </w:rPr>
      </w:pPr>
    </w:p>
    <w:p>
      <w:pPr>
        <w:ind w:right="240" w:firstLine="480"/>
        <w:spacing w:after="0" w:line="249" w:lineRule="auto"/>
        <w:rPr>
          <w:sz w:val="20"/>
          <w:szCs w:val="20"/>
          <w:color w:val="auto"/>
        </w:rPr>
      </w:pPr>
      <w:r>
        <w:rPr>
          <w:rFonts w:ascii="Times New Roman" w:cs="Times New Roman" w:eastAsia="Times New Roman" w:hAnsi="Times New Roman"/>
          <w:sz w:val="20"/>
          <w:szCs w:val="20"/>
          <w:color w:val="auto"/>
        </w:rPr>
        <w:t>We invest significantly in our research and development efforts, to discover and validate therapeutics while improving our processes and approach to drug making. We strive to progress candidates that can address unmet or underserved clinical needs and favor programs with well-validated targets and defined regulatory approval paths. Our R&amp;D team has played key roles in discovering and developing a number of promising candidates over the past 20 plus years. They have leveraged experience, insights and capabilities to optimize development, along with fostering collaboration with external partners to innovate and expand into potential additional indications. Our current development-stage portfolio consists of briquilimab in mast cell driven diseases.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77"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20"/>
          <w:szCs w:val="20"/>
          <w:color w:val="auto"/>
        </w:rPr>
        <w:t>We do not currently own or operate any manufacturing facility. We rely on contract manufacturing organizations to produce our drug candidates in accordance with current good manufacturing practice (“cGMP”) regulations for use in our clinical trials. The manufacture of pharmaceuticals is subject to extensive cGMP regulations, which impose various procedural and documentation requirements and govern all areas of record keeping, production processes and controls, personnel and quality control. Under our license agreement with Amgen, we have received a substantial amount of drug product to support initiation of our planned clinical trials of briquilimab. In November 2019, we entered into development and manufacturing agreements with Lonza Sales AG (“Lonza”) relating to the manufacturing of briquilimab and product quality testing. The facility of Lonza in Slough, United Kingdom is responsible for production and testing of drug substance. The facility of Lonza in Stein, Switzerland is responsible for production and testing of drug product. Labelling, packaging and storage of finished drug product is provided by PCI Pharma Services, in San Diego, California. Our agreement with Lonza includes certain limitations that may impact our ability to enter into supply arrangements with any other supplier without Lonza’s consent. In addition, Lonza has the right to increase the prices it charges us for certain supplies depending on a number of factors, some of which are outside of our control.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360"/>
          </w:cols>
          <w:pgMar w:left="1440" w:top="941" w:right="1440" w:bottom="348"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77"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Licensure and Regulation of Biologics in the United States</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In the United States, our product candidates are regulated as biological products, or biologics, under the Public Health Service Act (“PHSA”) and the Federal Food, Drug, and Cosmetic Act (“FDCA”) and its implementing regulations and guidance.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w:t>
      </w:r>
    </w:p>
    <w:p>
      <w:pPr>
        <w:spacing w:after="0" w:line="168" w:lineRule="exact"/>
        <w:rPr>
          <w:sz w:val="20"/>
          <w:szCs w:val="20"/>
          <w:color w:val="auto"/>
        </w:rPr>
      </w:pPr>
    </w:p>
    <w:p>
      <w:pPr>
        <w:ind w:right="440" w:firstLine="480"/>
        <w:spacing w:after="0" w:line="243" w:lineRule="auto"/>
        <w:rPr>
          <w:sz w:val="20"/>
          <w:szCs w:val="20"/>
          <w:color w:val="auto"/>
        </w:rPr>
      </w:pPr>
      <w:r>
        <w:rPr>
          <w:rFonts w:ascii="Times New Roman" w:cs="Times New Roman" w:eastAsia="Times New Roman" w:hAnsi="Times New Roman"/>
          <w:sz w:val="20"/>
          <w:szCs w:val="20"/>
          <w:color w:val="auto"/>
        </w:rPr>
        <w:t>An applicant seeking approval to market and distribute a new biologic in the United States generally must satisfactorily complete each of the following steps:</w:t>
      </w:r>
    </w:p>
    <w:p>
      <w:pPr>
        <w:spacing w:after="0" w:line="174" w:lineRule="exact"/>
        <w:rPr>
          <w:sz w:val="20"/>
          <w:szCs w:val="20"/>
          <w:color w:val="auto"/>
        </w:rPr>
      </w:pPr>
    </w:p>
    <w:p>
      <w:pPr>
        <w:ind w:left="960" w:right="4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preclinical laboratory tests, animal studies, and formulation studies all performed in accordance with the FDA’s good laboratory practice (“GLP”) regulations;</w:t>
      </w:r>
    </w:p>
    <w:p>
      <w:pPr>
        <w:spacing w:after="0" w:line="174" w:lineRule="exact"/>
        <w:rPr>
          <w:rFonts w:ascii="Times New Roman" w:cs="Times New Roman" w:eastAsia="Times New Roman" w:hAnsi="Times New Roman"/>
          <w:sz w:val="20"/>
          <w:szCs w:val="20"/>
          <w:color w:val="auto"/>
        </w:rPr>
      </w:pPr>
    </w:p>
    <w:p>
      <w:pPr>
        <w:ind w:left="960" w:right="6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the manufacture, under cGMP conditions, of the drug substance and drug product that the sponsor intends to use in human clinical trials along with required analytical and stability testing;</w:t>
      </w:r>
    </w:p>
    <w:p>
      <w:pPr>
        <w:spacing w:after="0" w:line="174" w:lineRule="exact"/>
        <w:rPr>
          <w:rFonts w:ascii="Times New Roman" w:cs="Times New Roman" w:eastAsia="Times New Roman" w:hAnsi="Times New Roman"/>
          <w:sz w:val="20"/>
          <w:szCs w:val="20"/>
          <w:color w:val="auto"/>
        </w:rPr>
      </w:pPr>
    </w:p>
    <w:p>
      <w:pPr>
        <w:ind w:left="960" w:right="28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investigational new drug (“IND”) application for human clinical testing, which must become effective before human clinical trials may begin;</w:t>
      </w:r>
    </w:p>
    <w:p>
      <w:pPr>
        <w:spacing w:after="0" w:line="174" w:lineRule="exact"/>
        <w:rPr>
          <w:rFonts w:ascii="Times New Roman" w:cs="Times New Roman" w:eastAsia="Times New Roman" w:hAnsi="Times New Roman"/>
          <w:sz w:val="20"/>
          <w:szCs w:val="20"/>
          <w:color w:val="auto"/>
        </w:rPr>
      </w:pPr>
    </w:p>
    <w:p>
      <w:pPr>
        <w:ind w:left="960" w:right="40" w:hanging="480"/>
        <w:spacing w:after="0" w:line="243"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institutional review board (“IRB”) representing each clinical site before each clinical trial may be initiated;</w:t>
      </w:r>
    </w:p>
    <w:p>
      <w:pPr>
        <w:spacing w:after="0" w:line="174" w:lineRule="exact"/>
        <w:rPr>
          <w:rFonts w:ascii="Times New Roman" w:cs="Times New Roman" w:eastAsia="Times New Roman" w:hAnsi="Times New Roman"/>
          <w:sz w:val="20"/>
          <w:szCs w:val="20"/>
          <w:color w:val="auto"/>
        </w:rPr>
      </w:pPr>
    </w:p>
    <w:p>
      <w:pPr>
        <w:ind w:left="960" w:right="140" w:hanging="480"/>
        <w:spacing w:after="0" w:line="246"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trials to establish the safety, potency, and purity of the product candidate for each proposed indication, in accordance with good clinical practices (“GCPs”);</w:t>
      </w:r>
    </w:p>
    <w:p>
      <w:pPr>
        <w:spacing w:after="0" w:line="172" w:lineRule="exact"/>
        <w:rPr>
          <w:rFonts w:ascii="Times New Roman" w:cs="Times New Roman" w:eastAsia="Times New Roman" w:hAnsi="Times New Roman"/>
          <w:sz w:val="20"/>
          <w:szCs w:val="20"/>
          <w:color w:val="auto"/>
        </w:rPr>
      </w:pPr>
    </w:p>
    <w:p>
      <w:pPr>
        <w:jc w:val="both"/>
        <w:ind w:left="960" w:hanging="480"/>
        <w:spacing w:after="0" w:line="266" w:lineRule="auto"/>
        <w:tabs>
          <w:tab w:leader="none" w:pos="9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preparation and submission to the FDA of a biologics license application (“BLA”) for a biologic product requesting marketing for one or more proposed indications, including submission of detailed information on the manufacture and composition of the product in clinical development and proposed labelling;</w:t>
      </w:r>
    </w:p>
    <w:p>
      <w:pPr>
        <w:spacing w:after="0" w:line="146"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the product by an FDA advisory committee, where appropriate or if applicable;</w:t>
      </w:r>
    </w:p>
    <w:p>
      <w:pPr>
        <w:spacing w:after="0" w:line="176" w:lineRule="exact"/>
        <w:rPr>
          <w:rFonts w:ascii="Times New Roman" w:cs="Times New Roman" w:eastAsia="Times New Roman" w:hAnsi="Times New Roman"/>
          <w:sz w:val="20"/>
          <w:szCs w:val="20"/>
          <w:color w:val="auto"/>
        </w:rPr>
      </w:pPr>
    </w:p>
    <w:p>
      <w:pPr>
        <w:ind w:left="960" w:right="20" w:hanging="480"/>
        <w:spacing w:after="0" w:line="248"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w:t>
      </w:r>
    </w:p>
    <w:p>
      <w:pPr>
        <w:spacing w:after="0" w:line="169" w:lineRule="exact"/>
        <w:rPr>
          <w:rFonts w:ascii="Times New Roman" w:cs="Times New Roman" w:eastAsia="Times New Roman" w:hAnsi="Times New Roman"/>
          <w:sz w:val="20"/>
          <w:szCs w:val="20"/>
          <w:color w:val="auto"/>
        </w:rPr>
      </w:pPr>
    </w:p>
    <w:p>
      <w:pPr>
        <w:ind w:left="960" w:right="240" w:hanging="480"/>
        <w:spacing w:after="0" w:line="268" w:lineRule="auto"/>
        <w:tabs>
          <w:tab w:leader="none" w:pos="96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satisfactory completion of any FDA audits of the preclinical studies and clinical trial sites to assure compliance with GLP, as applicable, and GCP and the integrity of clinical data in support of the BLA;</w:t>
      </w:r>
    </w:p>
    <w:p>
      <w:pPr>
        <w:spacing w:after="0" w:line="145"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user fees under the Prescription Drug User Fee Act (“PDUFA”);</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securing FDA approval of the BLA and licensure of the new biologic product; and</w:t>
      </w:r>
    </w:p>
    <w:p>
      <w:pPr>
        <w:spacing w:after="0" w:line="176" w:lineRule="exact"/>
        <w:rPr>
          <w:rFonts w:ascii="Times New Roman" w:cs="Times New Roman" w:eastAsia="Times New Roman" w:hAnsi="Times New Roman"/>
          <w:sz w:val="20"/>
          <w:szCs w:val="20"/>
          <w:color w:val="auto"/>
        </w:rPr>
      </w:pPr>
    </w:p>
    <w:p>
      <w:pPr>
        <w:ind w:left="960" w:right="480" w:hanging="480"/>
        <w:spacing w:after="0" w:line="246" w:lineRule="auto"/>
        <w:tabs>
          <w:tab w:leader="none" w:pos="9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any post-approval requirements, including the potential requirement to implement a Risk Evaluation and Mitigation Strategy (“REMS”) and any post-approval studies or other post-marketing commitments required by the FDA.</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360"/>
          </w:cols>
          <w:pgMar w:left="1440" w:top="941" w:right="1440" w:bottom="348"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i w:val="1"/>
          <w:iCs w:val="1"/>
          <w:color w:val="auto"/>
        </w:rPr>
        <w:t>Preclinical Studies and Investigational New Drug Application</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Before testing any biologic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68"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spacing w:after="0" w:line="170"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A clinical hold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 or future clinical trials in a timely manner.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Human Clinical Trials in Support of a BLA</w:t>
      </w:r>
    </w:p>
    <w:p>
      <w:pPr>
        <w:spacing w:after="0" w:line="177" w:lineRule="exact"/>
        <w:rPr>
          <w:sz w:val="20"/>
          <w:szCs w:val="20"/>
          <w:color w:val="auto"/>
        </w:rPr>
      </w:pPr>
    </w:p>
    <w:p>
      <w:pPr>
        <w:ind w:right="300" w:firstLine="480"/>
        <w:spacing w:after="0" w:line="249"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68"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74" w:lineRule="exact"/>
        <w:rPr>
          <w:sz w:val="20"/>
          <w:szCs w:val="20"/>
          <w:color w:val="auto"/>
        </w:rPr>
      </w:pPr>
    </w:p>
    <w:p>
      <w:pPr>
        <w:ind w:right="260" w:firstLine="480"/>
        <w:spacing w:after="0" w:line="249" w:lineRule="auto"/>
        <w:rPr>
          <w:sz w:val="20"/>
          <w:szCs w:val="20"/>
          <w:color w:val="auto"/>
        </w:rPr>
      </w:pPr>
      <w:r>
        <w:rPr>
          <w:rFonts w:ascii="Times New Roman" w:cs="Times New Roman" w:eastAsia="Times New Roman" w:hAnsi="Times New Roman"/>
          <w:sz w:val="20"/>
          <w:szCs w:val="20"/>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360"/>
          </w:cols>
          <w:pgMar w:left="1440" w:top="941" w:right="1440" w:bottom="348" w:gutter="0" w:footer="0" w:header="0"/>
          <w:type w:val="continuous"/>
        </w:sectPr>
      </w:pPr>
    </w:p>
    <w:bookmarkStart w:id="21" w:name="page22"/>
    <w:bookmarkEnd w:id="21"/>
    <w:p>
      <w:pPr>
        <w:ind w:right="220" w:firstLine="480"/>
        <w:spacing w:after="0" w:line="248" w:lineRule="auto"/>
        <w:rPr>
          <w:sz w:val="20"/>
          <w:szCs w:val="20"/>
          <w:color w:val="auto"/>
        </w:rPr>
      </w:pPr>
      <w:r>
        <w:rPr>
          <w:rFonts w:ascii="Times New Roman" w:cs="Times New Roman" w:eastAsia="Times New Roman" w:hAnsi="Times New Roman"/>
          <w:sz w:val="20"/>
          <w:szCs w:val="20"/>
          <w:color w:val="auto"/>
        </w:rPr>
        <w:t>Additionally, some clinical trials are overseen by an independent group of qualified experts organized by the clinical trial sponsor, known as a data safety monitoring board (“DSMB”) or Independent Data Safety Monitoring Committee (“IDMC”). This group may recommend continuation of the trial as planned, changes in trial conduct, or cessation of the trial at designated check points based on certain available data from the trial to which only the DSMB or IDMC has access.</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Clinical trials typically are conducted in three sequential phases, but the phases may overlap or be combined.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studies may be required after approval.</w:t>
      </w:r>
    </w:p>
    <w:p>
      <w:pPr>
        <w:spacing w:after="0" w:line="177" w:lineRule="exact"/>
        <w:rPr>
          <w:sz w:val="20"/>
          <w:szCs w:val="20"/>
          <w:color w:val="auto"/>
        </w:rPr>
      </w:pPr>
    </w:p>
    <w:p>
      <w:pPr>
        <w:jc w:val="both"/>
        <w:ind w:left="960" w:right="360" w:hanging="480"/>
        <w:spacing w:after="0" w:line="246"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1 clinical trials are initially conducted in a limited population to test the product candidate for safety, including adverse effects, dose tolerance, absorption, metabolism, distribution, excretion, and pharmacodynamics in healthy humans or, on occasion, in patients, such as cancer patients.</w:t>
      </w:r>
    </w:p>
    <w:p>
      <w:pPr>
        <w:spacing w:after="0" w:line="172" w:lineRule="exact"/>
        <w:rPr>
          <w:rFonts w:ascii="Times New Roman" w:cs="Times New Roman" w:eastAsia="Times New Roman" w:hAnsi="Times New Roman"/>
          <w:sz w:val="20"/>
          <w:szCs w:val="20"/>
          <w:color w:val="auto"/>
        </w:rPr>
      </w:pPr>
    </w:p>
    <w:p>
      <w:pPr>
        <w:ind w:left="960" w:right="180" w:hanging="480"/>
        <w:spacing w:after="0" w:line="248"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71" w:lineRule="exact"/>
        <w:rPr>
          <w:rFonts w:ascii="Times New Roman" w:cs="Times New Roman" w:eastAsia="Times New Roman" w:hAnsi="Times New Roman"/>
          <w:sz w:val="20"/>
          <w:szCs w:val="20"/>
          <w:color w:val="auto"/>
        </w:rPr>
      </w:pPr>
    </w:p>
    <w:p>
      <w:pPr>
        <w:ind w:left="960" w:right="220" w:hanging="480"/>
        <w:spacing w:after="0" w:line="249" w:lineRule="auto"/>
        <w:tabs>
          <w:tab w:leader="none" w:pos="9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Phase 3 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171"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In some cases, the FDA may approve a BLA for a product but require the sponsor to conduct additional clinical trials to further assess the product’s safety and effectiveness after licensure. Such post-approval studies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The FDA may require a post-approval study to be underway prior to approval or within a specified time period following approval, and the submission of progress reports for the study. The FDA is authorized to initiate enforcement action for the failure to conduct with due diligence a required post-approval study, including a failure to meet any required conditions specified by the FDA or to submit timely reports.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77"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20"/>
          <w:szCs w:val="20"/>
          <w:color w:val="auto"/>
        </w:rPr>
        <w:t>Information about applicable clinical trials must be submitted within specific timeframes to the NIH for public dissemination on its ClinicalTrials.gov website.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Compliance with cGMP Requirements</w:t>
      </w:r>
    </w:p>
    <w:p>
      <w:pPr>
        <w:spacing w:after="0" w:line="177" w:lineRule="exact"/>
        <w:rPr>
          <w:sz w:val="20"/>
          <w:szCs w:val="20"/>
          <w:color w:val="auto"/>
        </w:rPr>
      </w:pPr>
    </w:p>
    <w:p>
      <w:pPr>
        <w:ind w:right="140" w:firstLine="480"/>
        <w:spacing w:after="0" w:line="248" w:lineRule="auto"/>
        <w:rPr>
          <w:sz w:val="20"/>
          <w:szCs w:val="20"/>
          <w:color w:val="auto"/>
        </w:rPr>
      </w:pPr>
      <w:r>
        <w:rPr>
          <w:rFonts w:ascii="Times New Roman" w:cs="Times New Roman" w:eastAsia="Times New Roman" w:hAnsi="Times New Roman"/>
          <w:sz w:val="20"/>
          <w:szCs w:val="20"/>
          <w:color w:val="auto"/>
        </w:rPr>
        <w:t>Before approving a BLA, the FDA typically will inspect the facility or facilities where the product is manufactured. The FDA will not approve an application unless it determines that the manufacturing processes and facilities comply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72" w:lineRule="exact"/>
        <w:rPr>
          <w:sz w:val="20"/>
          <w:szCs w:val="20"/>
          <w:color w:val="auto"/>
        </w:rPr>
      </w:pPr>
    </w:p>
    <w:p>
      <w:pPr>
        <w:ind w:right="280" w:firstLine="480"/>
        <w:spacing w:after="0" w:line="265" w:lineRule="auto"/>
        <w:rPr>
          <w:sz w:val="20"/>
          <w:szCs w:val="20"/>
          <w:color w:val="auto"/>
        </w:rPr>
      </w:pPr>
      <w:r>
        <w:rPr>
          <w:rFonts w:ascii="Times New Roman" w:cs="Times New Roman" w:eastAsia="Times New Roman" w:hAnsi="Times New Roman"/>
          <w:sz w:val="19"/>
          <w:szCs w:val="19"/>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360"/>
          </w:cols>
          <w:pgMar w:left="1440" w:top="948" w:right="1440" w:bottom="348" w:gutter="0" w:footer="0" w:header="0"/>
          <w:type w:val="continuous"/>
        </w:sectPr>
      </w:pPr>
    </w:p>
    <w:bookmarkStart w:id="22" w:name="page23"/>
    <w:bookmarkEnd w:id="22"/>
    <w:p>
      <w:pPr>
        <w:ind w:right="100"/>
        <w:spacing w:after="0" w:line="248" w:lineRule="auto"/>
        <w:rPr>
          <w:sz w:val="20"/>
          <w:szCs w:val="20"/>
          <w:color w:val="auto"/>
        </w:rPr>
      </w:pPr>
      <w:r>
        <w:rPr>
          <w:rFonts w:ascii="Times New Roman" w:cs="Times New Roman" w:eastAsia="Times New Roman" w:hAnsi="Times New Roman"/>
          <w:sz w:val="20"/>
          <w:szCs w:val="20"/>
          <w:color w:val="auto"/>
        </w:rPr>
        <w:t>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Review and Approval of a BLA</w:t>
      </w:r>
    </w:p>
    <w:p>
      <w:pPr>
        <w:spacing w:after="0" w:line="177" w:lineRule="exact"/>
        <w:rPr>
          <w:sz w:val="20"/>
          <w:szCs w:val="20"/>
          <w:color w:val="auto"/>
        </w:rPr>
      </w:pPr>
    </w:p>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The results of product candidate development, preclinical testing, and clinical trials, including negative or ambiguous results as well as positive findings, are submitted to the FDA as part of a BLA requesting a license to market the product. The BLA must contain extensive manufacturing information and detailed information on the composition of the product and proposed labeling as well as payment of a user fee. Under the Prescription Drug User Fee Act, as amended (“PDUFA”), each BLA must be accompanied by a significant user fee, which is adjusted on an annual basis. The sponsor of a licensed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71"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PDUFA, the FDA has ten months in which to complete its initial review of a standard application and respond to the applicant, and six months for a priority review of the application. The FDA does not always meet its PDUFA goal dates for standard and priority BLAs. Products are eligible for priority review (a status assigned by the FDA at filing) if the application is for a product intended to treat a serious or life-threatening condition and the product, if approved, would provide a significant improvement in safety or effectiveness compared to any existing licensed products for the same intended use. The FDA has substantial discretion in the approval process and may refuse to file any application or not approve an BLA if the FDA determines that the data are insufficient for approval. The review process may often be significantly extended by FDA requests for additional information or clarification. The review process and the PDUFA goal date may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81"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or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w:t>
      </w:r>
    </w:p>
    <w:p>
      <w:pPr>
        <w:spacing w:after="0" w:line="174"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The FDA may also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right="200" w:firstLine="480"/>
        <w:spacing w:after="0" w:line="264" w:lineRule="auto"/>
        <w:rPr>
          <w:sz w:val="20"/>
          <w:szCs w:val="20"/>
          <w:color w:val="auto"/>
        </w:rPr>
      </w:pPr>
      <w:r>
        <w:rPr>
          <w:rFonts w:ascii="Times New Roman" w:cs="Times New Roman" w:eastAsia="Times New Roman" w:hAnsi="Times New Roman"/>
          <w:sz w:val="19"/>
          <w:szCs w:val="19"/>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360"/>
          </w:cols>
          <w:pgMar w:left="1440" w:top="948" w:right="1440" w:bottom="348" w:gutter="0" w:footer="0" w:header="0"/>
          <w:type w:val="continuous"/>
        </w:sectPr>
      </w:pPr>
    </w:p>
    <w:bookmarkStart w:id="23" w:name="page24"/>
    <w:bookmarkEnd w:id="23"/>
    <w:p>
      <w:pPr>
        <w:ind w:right="120"/>
        <w:spacing w:after="0" w:line="248" w:lineRule="auto"/>
        <w:rPr>
          <w:sz w:val="20"/>
          <w:szCs w:val="20"/>
          <w:color w:val="auto"/>
        </w:rPr>
      </w:pPr>
      <w:r>
        <w:rPr>
          <w:rFonts w:ascii="Times New Roman" w:cs="Times New Roman" w:eastAsia="Times New Roman" w:hAnsi="Times New Roman"/>
          <w:sz w:val="20"/>
          <w:szCs w:val="20"/>
          <w:color w:val="auto"/>
        </w:rPr>
        <w:t>mechanisms, including a Risk Evaluation and Mitigation Strategy (“REMS”), to help ensure that the benefits of the product outweigh the potential risks. REMS can include medication guides, communication plans for healthcare professionals, and elements to assure safe use. Additionally, post-approval, many types of changes to the approved product, such as adding new indications, changing manufacturing processes and adding labeling claims, are subject to further testing requirements and FDA review and approval.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Expedited Review Programs</w:t>
      </w:r>
    </w:p>
    <w:p>
      <w:pPr>
        <w:spacing w:after="0" w:line="177" w:lineRule="exact"/>
        <w:rPr>
          <w:sz w:val="20"/>
          <w:szCs w:val="20"/>
          <w:color w:val="auto"/>
        </w:rPr>
      </w:pPr>
    </w:p>
    <w:p>
      <w:pPr>
        <w:ind w:firstLine="480"/>
        <w:spacing w:after="0" w:line="263" w:lineRule="auto"/>
        <w:rPr>
          <w:sz w:val="20"/>
          <w:szCs w:val="20"/>
          <w:color w:val="auto"/>
        </w:rPr>
      </w:pPr>
      <w:r>
        <w:rPr>
          <w:rFonts w:ascii="Times New Roman" w:cs="Times New Roman" w:eastAsia="Times New Roman" w:hAnsi="Times New Roman"/>
          <w:sz w:val="19"/>
          <w:szCs w:val="19"/>
          <w:color w:val="auto"/>
        </w:rPr>
        <w:t>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w:t>
      </w:r>
    </w:p>
    <w:p>
      <w:pPr>
        <w:spacing w:after="0" w:line="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172" w:lineRule="exact"/>
        <w:rPr>
          <w:sz w:val="20"/>
          <w:szCs w:val="20"/>
          <w:color w:val="auto"/>
        </w:rPr>
      </w:pPr>
    </w:p>
    <w:p>
      <w:pPr>
        <w:ind w:right="400" w:firstLine="480"/>
        <w:spacing w:after="0" w:line="246" w:lineRule="auto"/>
        <w:rPr>
          <w:sz w:val="20"/>
          <w:szCs w:val="20"/>
          <w:color w:val="auto"/>
        </w:rPr>
      </w:pPr>
      <w:r>
        <w:rPr>
          <w:rFonts w:ascii="Times New Roman" w:cs="Times New Roman" w:eastAsia="Times New Roman" w:hAnsi="Times New Roman"/>
          <w:sz w:val="20"/>
          <w:szCs w:val="20"/>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173" w:lineRule="exact"/>
        <w:rPr>
          <w:sz w:val="20"/>
          <w:szCs w:val="20"/>
          <w:color w:val="auto"/>
        </w:rPr>
      </w:pPr>
    </w:p>
    <w:p>
      <w:pPr>
        <w:ind w:left="960" w:right="140" w:hanging="480"/>
        <w:spacing w:after="0" w:line="249"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Breakthrough therapy designation. 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169" w:lineRule="exact"/>
        <w:rPr>
          <w:rFonts w:ascii="Times New Roman" w:cs="Times New Roman" w:eastAsia="Times New Roman" w:hAnsi="Times New Roman"/>
          <w:sz w:val="20"/>
          <w:szCs w:val="20"/>
          <w:color w:val="auto"/>
        </w:rPr>
      </w:pPr>
    </w:p>
    <w:p>
      <w:pPr>
        <w:ind w:left="960" w:right="40" w:hanging="480"/>
        <w:spacing w:after="0" w:line="248"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Priority review. A product candidate is eligible for priority review if it treats a serious condition and, if approved, it would be a significant improvement in the safety or effectiveness of the treatment, diagnosis or prevention compared to marketed products. The FDA aims to complete its review of priority review applications within six months as opposed to 10 months for standard review.</w:t>
      </w:r>
    </w:p>
    <w:p>
      <w:pPr>
        <w:spacing w:after="0" w:line="169" w:lineRule="exact"/>
        <w:rPr>
          <w:rFonts w:ascii="Times New Roman" w:cs="Times New Roman" w:eastAsia="Times New Roman" w:hAnsi="Times New Roman"/>
          <w:sz w:val="20"/>
          <w:szCs w:val="20"/>
          <w:color w:val="auto"/>
        </w:rPr>
      </w:pPr>
    </w:p>
    <w:p>
      <w:pPr>
        <w:ind w:left="960" w:right="160" w:hanging="480"/>
        <w:spacing w:after="0" w:line="249"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Accelerated approval. Drug or biologic products studied for their safety and effectiveness in treating serious or life-threatening illnesses 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175" w:lineRule="exact"/>
        <w:rPr>
          <w:rFonts w:ascii="Times New Roman" w:cs="Times New Roman" w:eastAsia="Times New Roman" w:hAnsi="Times New Roman"/>
          <w:sz w:val="20"/>
          <w:szCs w:val="20"/>
          <w:color w:val="auto"/>
        </w:rPr>
      </w:pPr>
    </w:p>
    <w:p>
      <w:pPr>
        <w:ind w:left="960" w:right="80" w:hanging="480"/>
        <w:spacing w:after="0" w:line="244" w:lineRule="auto"/>
        <w:tabs>
          <w:tab w:leader="none" w:pos="9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Regenerative advanced therapy. With passage of the 21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20"/>
          <w:szCs w:val="20"/>
          <w:color w:val="auto"/>
        </w:rPr>
        <w:t xml:space="preserve"> Century Cures Act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81" w:lineRule="exact"/>
        <w:rPr>
          <w:sz w:val="20"/>
          <w:szCs w:val="20"/>
          <w:color w:val="auto"/>
        </w:rPr>
      </w:pPr>
    </w:p>
    <w:p>
      <w:pPr>
        <w:ind w:right="900" w:firstLine="480"/>
        <w:spacing w:after="0" w:line="243" w:lineRule="auto"/>
        <w:rPr>
          <w:sz w:val="20"/>
          <w:szCs w:val="20"/>
          <w:color w:val="auto"/>
        </w:rPr>
      </w:pPr>
      <w:r>
        <w:rPr>
          <w:rFonts w:ascii="Times New Roman" w:cs="Times New Roman" w:eastAsia="Times New Roman" w:hAnsi="Times New Roman"/>
          <w:sz w:val="20"/>
          <w:szCs w:val="20"/>
          <w:color w:val="auto"/>
        </w:rPr>
        <w:t>None of these expedited programs change the standards for approval but they may help expedite the development or approval process of product candidates.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360"/>
          </w:cols>
          <w:pgMar w:left="1440" w:top="948" w:right="1440" w:bottom="348"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i w:val="1"/>
          <w:iCs w:val="1"/>
          <w:color w:val="auto"/>
        </w:rPr>
        <w:t>Post-Approval Regulation</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safety and other postmarketing information and submissions, provide updated safety and efficacy information, implement product tracking and tracing requirements,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BLA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the sponsor and its third-party manufacturers must continue to expend time, money, and effort in the areas of production and quality control to maintain compliance with cGMP regulations and other regulatory requirements.</w:t>
      </w:r>
    </w:p>
    <w:p>
      <w:pPr>
        <w:spacing w:after="0" w:line="182" w:lineRule="exact"/>
        <w:rPr>
          <w:sz w:val="20"/>
          <w:szCs w:val="20"/>
          <w:color w:val="auto"/>
        </w:rPr>
      </w:pPr>
    </w:p>
    <w:p>
      <w:pPr>
        <w:ind w:right="240" w:firstLine="480"/>
        <w:spacing w:after="0" w:line="249" w:lineRule="auto"/>
        <w:rPr>
          <w:sz w:val="20"/>
          <w:szCs w:val="20"/>
          <w:color w:val="auto"/>
        </w:rPr>
      </w:pPr>
      <w:r>
        <w:rPr>
          <w:rFonts w:ascii="Times New Roman" w:cs="Times New Roman" w:eastAsia="Times New Roman" w:hAnsi="Times New Roman"/>
          <w:sz w:val="20"/>
          <w:szCs w:val="20"/>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0"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63" w:lineRule="exact"/>
        <w:rPr>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investigation or additional study obligations;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publicity or communications to prescribers or patients about specific information or issues;</w:t>
      </w:r>
    </w:p>
    <w:p>
      <w:pPr>
        <w:spacing w:after="0" w:line="176" w:lineRule="exact"/>
        <w:rPr>
          <w:rFonts w:ascii="Times New Roman" w:cs="Times New Roman" w:eastAsia="Times New Roman" w:hAnsi="Times New Roman"/>
          <w:sz w:val="20"/>
          <w:szCs w:val="20"/>
          <w:color w:val="auto"/>
        </w:rPr>
      </w:pPr>
    </w:p>
    <w:p>
      <w:pPr>
        <w:ind w:left="960" w:right="120" w:hanging="480"/>
        <w:spacing w:after="0" w:line="243"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or untitled letters or holds on post-approval clinical trials;</w:t>
      </w:r>
    </w:p>
    <w:p>
      <w:pPr>
        <w:spacing w:after="0" w:line="176" w:lineRule="exact"/>
        <w:rPr>
          <w:rFonts w:ascii="Times New Roman" w:cs="Times New Roman" w:eastAsia="Times New Roman" w:hAnsi="Times New Roman"/>
          <w:sz w:val="20"/>
          <w:szCs w:val="20"/>
          <w:color w:val="auto"/>
        </w:rPr>
      </w:pPr>
    </w:p>
    <w:p>
      <w:pPr>
        <w:ind w:left="960" w:right="760" w:hanging="480"/>
        <w:spacing w:after="0" w:line="243" w:lineRule="auto"/>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license approvals;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 seizure or detention, or refusal to permit the import or export of products; or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consent decrees or the imposition of civil or criminal penalties.</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Pharmaceutical products may be promoted only for the approved indications and in accordance with the provisions of the approved label. Although healthcare providers may prescribe products for uses not described in the drug’s labeling, known as off-label uses, in their professional judgment, drug manufacturers are prohibited from soliciting, encouraging or promoting unapproved uses of a product. The FDA and other agencies actively enforce the laws and regulations prohibiting the promotion of off-label uses, and a company that is found to have improperly promoted off-label uses may be subject to significant liability.</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360"/>
          </w:cols>
          <w:pgMar w:left="1440" w:top="941" w:right="1440" w:bottom="348" w:gutter="0" w:footer="0" w:header="0"/>
          <w:type w:val="continuous"/>
        </w:sectPr>
      </w:pPr>
    </w:p>
    <w:bookmarkStart w:id="25" w:name="page26"/>
    <w:bookmarkEnd w:id="25"/>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w:t>
      </w:r>
    </w:p>
    <w:p>
      <w:pPr>
        <w:spacing w:after="0" w:line="168"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and Procedures Governing Approval of Medicinal Products in the European Union</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Trial Approval</w:t>
      </w:r>
    </w:p>
    <w:p>
      <w:pPr>
        <w:spacing w:after="0" w:line="177" w:lineRule="exact"/>
        <w:rPr>
          <w:sz w:val="20"/>
          <w:szCs w:val="20"/>
          <w:color w:val="auto"/>
        </w:rPr>
      </w:pPr>
    </w:p>
    <w:p>
      <w:pPr>
        <w:ind w:right="40" w:firstLine="480"/>
        <w:spacing w:after="0" w:line="263" w:lineRule="auto"/>
        <w:rPr>
          <w:sz w:val="20"/>
          <w:szCs w:val="20"/>
          <w:color w:val="auto"/>
        </w:rPr>
      </w:pPr>
      <w:r>
        <w:rPr>
          <w:rFonts w:ascii="Times New Roman" w:cs="Times New Roman" w:eastAsia="Times New Roman" w:hAnsi="Times New Roman"/>
          <w:sz w:val="19"/>
          <w:szCs w:val="19"/>
          <w:color w:val="auto"/>
        </w:rPr>
        <w:t>Pursuant to Clinical Trials Directive 2001/20/EC and the Directive 2005/28/EC on GCP, a system for the approval of clinical trials in the European Union was implemented through national legislation of the member states. Under this system, an applicant must obtain approval from the competent national authority of a European Union member state in which the clinical trial is to be conducted, or in multiple member states if the clinical trial is to</w:t>
      </w:r>
    </w:p>
    <w:p>
      <w:pPr>
        <w:spacing w:after="0" w:line="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be conducted in a number of member states. Furthermore, the applicant may only start a clinical trial at a specific site after the competent ethics committee has issued a favorable opinion.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72" w:lineRule="exact"/>
        <w:rPr>
          <w:sz w:val="20"/>
          <w:szCs w:val="20"/>
          <w:color w:val="auto"/>
        </w:rPr>
      </w:pPr>
    </w:p>
    <w:p>
      <w:pPr>
        <w:ind w:right="360" w:firstLine="480"/>
        <w:spacing w:after="0" w:line="264" w:lineRule="auto"/>
        <w:rPr>
          <w:sz w:val="20"/>
          <w:szCs w:val="20"/>
          <w:color w:val="auto"/>
        </w:rPr>
      </w:pPr>
      <w:r>
        <w:rPr>
          <w:rFonts w:ascii="Times New Roman" w:cs="Times New Roman" w:eastAsia="Times New Roman" w:hAnsi="Times New Roman"/>
          <w:sz w:val="19"/>
          <w:szCs w:val="19"/>
          <w:color w:val="auto"/>
        </w:rPr>
        <w:t>In April 2014, the European Union adopted a new Clinical Trials Regulation (EU) No 536/2014, which became effective on January 31, 2022. It overhauled the current system of approvals for clinical trials in the European Union. Specifically, the new legislation, which is directly applicable in all member states, is aimed at simplifying and streamlining the approval of clinical trials in the European Union. For instance, the new Clinical Trials Regulation provides for a streamlined application procedure via a single-entry point, the Clinical Trials Information System (“CTIS”), and strictly defined deadlines for the assessment of clinical trial applications.</w:t>
      </w:r>
    </w:p>
    <w:p>
      <w:pPr>
        <w:spacing w:after="0" w:line="158" w:lineRule="exact"/>
        <w:rPr>
          <w:sz w:val="20"/>
          <w:szCs w:val="20"/>
          <w:color w:val="auto"/>
        </w:rPr>
      </w:pPr>
    </w:p>
    <w:p>
      <w:pPr>
        <w:jc w:val="both"/>
        <w:ind w:firstLine="480"/>
        <w:spacing w:after="0" w:line="265" w:lineRule="auto"/>
        <w:rPr>
          <w:sz w:val="20"/>
          <w:szCs w:val="20"/>
          <w:color w:val="auto"/>
        </w:rPr>
      </w:pPr>
      <w:r>
        <w:rPr>
          <w:rFonts w:ascii="Times New Roman" w:cs="Times New Roman" w:eastAsia="Times New Roman" w:hAnsi="Times New Roman"/>
          <w:sz w:val="19"/>
          <w:szCs w:val="19"/>
          <w:color w:val="auto"/>
        </w:rPr>
        <w:t>The conduct of all clinical trials commenced in the European Union prior to January 31, 2022 will continue to be bound by the previously applicable provisions. However, if a clinical trial continues for more than three years after January 31, 2022, the Clinical Trials Regulation will at that time begin to apply to the clinical trial. As of January 31, 2023, all new trial authorizations must be applied for under the Clinical Trials Regulation and utilize CTIS.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360"/>
          </w:cols>
          <w:pgMar w:left="1440" w:top="948" w:right="1440" w:bottom="348"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i w:val="1"/>
          <w:iCs w:val="1"/>
          <w:color w:val="auto"/>
        </w:rPr>
        <w:t>Marketing Authorization</w:t>
      </w:r>
    </w:p>
    <w:p>
      <w:pPr>
        <w:spacing w:after="0" w:line="177" w:lineRule="exact"/>
        <w:rPr>
          <w:sz w:val="20"/>
          <w:szCs w:val="20"/>
          <w:color w:val="auto"/>
        </w:rPr>
      </w:pPr>
    </w:p>
    <w:p>
      <w:pPr>
        <w:ind w:right="40" w:firstLine="480"/>
        <w:spacing w:after="0" w:line="264" w:lineRule="auto"/>
        <w:rPr>
          <w:sz w:val="20"/>
          <w:szCs w:val="20"/>
          <w:color w:val="auto"/>
        </w:rPr>
      </w:pPr>
      <w:r>
        <w:rPr>
          <w:rFonts w:ascii="Times New Roman" w:cs="Times New Roman" w:eastAsia="Times New Roman" w:hAnsi="Times New Roman"/>
          <w:sz w:val="19"/>
          <w:szCs w:val="19"/>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 approved Pediatric Investigation Plan (“PIP”) covering all subsets of the pediatric population, unless the EMA has granted a product specific waiver, class waiver, or a deferral for one or more of the measures included in the PIP.</w:t>
      </w:r>
    </w:p>
    <w:p>
      <w:pPr>
        <w:spacing w:after="0" w:line="157" w:lineRule="exact"/>
        <w:rPr>
          <w:sz w:val="20"/>
          <w:szCs w:val="20"/>
          <w:color w:val="auto"/>
        </w:rPr>
      </w:pPr>
    </w:p>
    <w:p>
      <w:pPr>
        <w:ind w:right="260" w:firstLine="480"/>
        <w:spacing w:after="0" w:line="249" w:lineRule="auto"/>
        <w:rPr>
          <w:sz w:val="20"/>
          <w:szCs w:val="20"/>
          <w:color w:val="auto"/>
        </w:rPr>
      </w:pPr>
      <w:r>
        <w:rPr>
          <w:rFonts w:ascii="Times New Roman" w:cs="Times New Roman" w:eastAsia="Times New Roman" w:hAnsi="Times New Roman"/>
          <w:sz w:val="20"/>
          <w:szCs w:val="20"/>
          <w:color w:val="auto"/>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Manufacturers must demonstrate the quality, safety, and efficacy of their products to the EMA, which provides an opinion regarding the MAA. The European Commission grants or refuses marketing authorization in light of the opinion delivered by the EMA.</w:t>
      </w:r>
    </w:p>
    <w:p>
      <w:pPr>
        <w:spacing w:after="0" w:line="174"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9"/>
          <w:szCs w:val="19"/>
          <w:color w:val="auto"/>
        </w:rPr>
        <w:t>Under the centralized procedure, the CHMP established at the EMA is responsible for conducting an initial assessment of a product.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may be granted</w:t>
      </w:r>
    </w:p>
    <w:p>
      <w:pPr>
        <w:spacing w:after="0" w:line="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Coverage, Pricing, and Reimbursement</w:t>
      </w:r>
    </w:p>
    <w:p>
      <w:pPr>
        <w:spacing w:after="0" w:line="177" w:lineRule="exact"/>
        <w:rPr>
          <w:sz w:val="20"/>
          <w:szCs w:val="20"/>
          <w:color w:val="auto"/>
        </w:rPr>
      </w:pPr>
    </w:p>
    <w:p>
      <w:pPr>
        <w:ind w:right="140" w:firstLine="480"/>
        <w:spacing w:after="0" w:line="264" w:lineRule="auto"/>
        <w:rPr>
          <w:sz w:val="20"/>
          <w:szCs w:val="20"/>
          <w:color w:val="auto"/>
        </w:rPr>
      </w:pPr>
      <w:r>
        <w:rPr>
          <w:rFonts w:ascii="Times New Roman" w:cs="Times New Roman" w:eastAsia="Times New Roman" w:hAnsi="Times New Roman"/>
          <w:sz w:val="19"/>
          <w:szCs w:val="19"/>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Even if any product candidates we may develop are approved,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55"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cost-effective. A decision by a third-party payor not to cover any product candidates we may develop could reduce physician utilization of such product candidates once approved and have a material adverse effect on our sales, results of operations and financial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360"/>
          </w:cols>
          <w:pgMar w:left="1440" w:top="941" w:right="1440" w:bottom="348" w:gutter="0" w:footer="0" w:header="0"/>
          <w:type w:val="continuous"/>
        </w:sectPr>
      </w:pPr>
    </w:p>
    <w:bookmarkStart w:id="27" w:name="page28"/>
    <w:bookmarkEnd w:id="27"/>
    <w:p>
      <w:pPr>
        <w:ind w:right="40"/>
        <w:spacing w:after="0" w:line="249" w:lineRule="auto"/>
        <w:rPr>
          <w:sz w:val="20"/>
          <w:szCs w:val="20"/>
          <w:color w:val="auto"/>
        </w:rPr>
      </w:pPr>
      <w:r>
        <w:rPr>
          <w:rFonts w:ascii="Times New Roman" w:cs="Times New Roman" w:eastAsia="Times New Roman" w:hAnsi="Times New Roman"/>
          <w:sz w:val="20"/>
          <w:szCs w:val="20"/>
          <w:color w:val="auto"/>
        </w:rPr>
        <w:t>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 In addition, any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any companion diagnostics.</w:t>
      </w:r>
    </w:p>
    <w:p>
      <w:pPr>
        <w:spacing w:after="0" w:line="173" w:lineRule="exact"/>
        <w:rPr>
          <w:sz w:val="20"/>
          <w:szCs w:val="20"/>
          <w:color w:val="auto"/>
        </w:rPr>
      </w:pPr>
    </w:p>
    <w:p>
      <w:pPr>
        <w:ind w:right="40" w:firstLine="480"/>
        <w:spacing w:after="0" w:line="248" w:lineRule="auto"/>
        <w:rPr>
          <w:sz w:val="20"/>
          <w:szCs w:val="20"/>
          <w:color w:val="auto"/>
        </w:rPr>
      </w:pPr>
      <w:r>
        <w:rPr>
          <w:rFonts w:ascii="Times New Roman" w:cs="Times New Roman" w:eastAsia="Times New Roman" w:hAnsi="Times New Roman"/>
          <w:sz w:val="20"/>
          <w:szCs w:val="20"/>
          <w:color w:val="auto"/>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w:t>
      </w:r>
    </w:p>
    <w:p>
      <w:pPr>
        <w:spacing w:after="0" w:line="9"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color w:val="auto"/>
        </w:rPr>
        <w:t>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2" w:lineRule="exact"/>
        <w:rPr>
          <w:sz w:val="20"/>
          <w:szCs w:val="20"/>
          <w:color w:val="auto"/>
        </w:rPr>
      </w:pPr>
    </w:p>
    <w:p>
      <w:pPr>
        <w:ind w:right="40" w:firstLine="480"/>
        <w:spacing w:after="0" w:line="248" w:lineRule="auto"/>
        <w:rPr>
          <w:sz w:val="20"/>
          <w:szCs w:val="20"/>
          <w:color w:val="auto"/>
        </w:rPr>
      </w:pPr>
      <w:r>
        <w:rPr>
          <w:rFonts w:ascii="Times New Roman" w:cs="Times New Roman" w:eastAsia="Times New Roman" w:hAnsi="Times New Roman"/>
          <w:sz w:val="20"/>
          <w:szCs w:val="20"/>
          <w:color w:val="auto"/>
        </w:rPr>
        <w:t>If we obtain approval in the future to market in the United States any product candidates we may develop, we may be required to provide discounts or rebates under government healthcare programs or to certain 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172" w:lineRule="exact"/>
        <w:rPr>
          <w:sz w:val="20"/>
          <w:szCs w:val="20"/>
          <w:color w:val="auto"/>
        </w:rPr>
      </w:pPr>
    </w:p>
    <w:p>
      <w:pPr>
        <w:ind w:right="180" w:firstLine="480"/>
        <w:spacing w:after="0" w:line="249" w:lineRule="auto"/>
        <w:rPr>
          <w:sz w:val="20"/>
          <w:szCs w:val="20"/>
          <w:color w:val="auto"/>
        </w:rPr>
      </w:pPr>
      <w:r>
        <w:rPr>
          <w:rFonts w:ascii="Times New Roman" w:cs="Times New Roman" w:eastAsia="Times New Roman" w:hAnsi="Times New Roman"/>
          <w:sz w:val="20"/>
          <w:szCs w:val="20"/>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cost-effectiveness of any product candidates we may develop to other available therapies. The conduct of such a clinical trial could be expensive and result in delays in our commercialization efforts.</w:t>
      </w:r>
    </w:p>
    <w:p>
      <w:pPr>
        <w:spacing w:after="0" w:line="168" w:lineRule="exact"/>
        <w:rPr>
          <w:sz w:val="20"/>
          <w:szCs w:val="20"/>
          <w:color w:val="auto"/>
        </w:rPr>
      </w:pPr>
    </w:p>
    <w:p>
      <w:pPr>
        <w:ind w:right="20" w:firstLine="480"/>
        <w:spacing w:after="0" w:line="263" w:lineRule="auto"/>
        <w:rPr>
          <w:sz w:val="20"/>
          <w:szCs w:val="20"/>
          <w:color w:val="auto"/>
        </w:rPr>
      </w:pPr>
      <w:r>
        <w:rPr>
          <w:rFonts w:ascii="Times New Roman" w:cs="Times New Roman" w:eastAsia="Times New Roman" w:hAnsi="Times New Roman"/>
          <w:sz w:val="19"/>
          <w:szCs w:val="19"/>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w:t>
      </w:r>
    </w:p>
    <w:p>
      <w:pPr>
        <w:spacing w:after="0" w:line="4"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or they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360"/>
          </w:cols>
          <w:pgMar w:left="1440" w:top="948" w:right="1440" w:bottom="348"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20"/>
          <w:szCs w:val="20"/>
          <w:i w:val="1"/>
          <w:iCs w:val="1"/>
          <w:color w:val="auto"/>
        </w:rPr>
        <w:t>Healthcare Law and Regulation</w:t>
      </w:r>
    </w:p>
    <w:p>
      <w:pPr>
        <w:spacing w:after="0" w:line="177" w:lineRule="exact"/>
        <w:rPr>
          <w:sz w:val="20"/>
          <w:szCs w:val="20"/>
          <w:color w:val="auto"/>
        </w:rPr>
      </w:pPr>
    </w:p>
    <w:p>
      <w:pPr>
        <w:ind w:right="80" w:firstLine="480"/>
        <w:spacing w:after="0" w:line="264" w:lineRule="auto"/>
        <w:rPr>
          <w:sz w:val="20"/>
          <w:szCs w:val="20"/>
          <w:color w:val="auto"/>
        </w:rPr>
      </w:pPr>
      <w:r>
        <w:rPr>
          <w:rFonts w:ascii="Times New Roman" w:cs="Times New Roman" w:eastAsia="Times New Roman" w:hAnsi="Times New Roman"/>
          <w:sz w:val="19"/>
          <w:szCs w:val="19"/>
          <w:color w:val="auto"/>
        </w:rPr>
        <w:t>Healthcare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158" w:lineRule="exact"/>
        <w:rPr>
          <w:sz w:val="20"/>
          <w:szCs w:val="20"/>
          <w:color w:val="auto"/>
        </w:rPr>
      </w:pPr>
    </w:p>
    <w:p>
      <w:pPr>
        <w:ind w:left="960" w:right="120" w:hanging="480"/>
        <w:spacing w:after="0" w:line="248"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71" w:lineRule="exact"/>
        <w:rPr>
          <w:rFonts w:ascii="Times New Roman" w:cs="Times New Roman" w:eastAsia="Times New Roman" w:hAnsi="Times New Roman"/>
          <w:sz w:val="20"/>
          <w:szCs w:val="20"/>
          <w:color w:val="auto"/>
        </w:rPr>
      </w:pPr>
    </w:p>
    <w:p>
      <w:pPr>
        <w:ind w:left="960" w:right="120" w:hanging="480"/>
        <w:spacing w:after="0" w:line="248"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71" w:lineRule="exact"/>
        <w:rPr>
          <w:rFonts w:ascii="Times New Roman" w:cs="Times New Roman" w:eastAsia="Times New Roman" w:hAnsi="Times New Roman"/>
          <w:sz w:val="20"/>
          <w:szCs w:val="20"/>
          <w:color w:val="auto"/>
        </w:rPr>
      </w:pPr>
    </w:p>
    <w:p>
      <w:pPr>
        <w:jc w:val="both"/>
        <w:ind w:left="960" w:right="280" w:hanging="480"/>
        <w:spacing w:after="0" w:line="246"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FCPA, which prohibits companies and their intermediaries from making, or offering or promising to make improper payments to non-U.S. officials for the purpose of obtaining or retaining business or otherwise seeking favorable treatment; and</w:t>
      </w:r>
    </w:p>
    <w:p>
      <w:pPr>
        <w:spacing w:after="0" w:line="172" w:lineRule="exact"/>
        <w:rPr>
          <w:rFonts w:ascii="Times New Roman" w:cs="Times New Roman" w:eastAsia="Times New Roman" w:hAnsi="Times New Roman"/>
          <w:sz w:val="20"/>
          <w:szCs w:val="20"/>
          <w:color w:val="auto"/>
        </w:rPr>
      </w:pPr>
    </w:p>
    <w:p>
      <w:pPr>
        <w:ind w:left="960" w:right="280" w:hanging="480"/>
        <w:spacing w:after="0" w:line="249" w:lineRule="auto"/>
        <w:tabs>
          <w:tab w:leader="none" w:pos="9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transparency requirements known as the federal Physician Payments Sunshine Act, which requires certain manufacturers of drugs, devices, biologics and medical supplies to report annually to the CMS within the U.S. Department of Health and Human Services, information related to payments and other transfers of value made by that entity to physicians and certain other licensed health care practitioners, as defined by such law, and teaching hospitals, as well as ownership and investment interests held by physicians and their immediate family members.</w:t>
      </w:r>
    </w:p>
    <w:p>
      <w:pPr>
        <w:spacing w:after="0" w:line="168"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Similar federal, state and foreign fraud and abuse laws and regulations, such as state anti-kickback and false claims laws, may apply to sales or marketing arrangements and claims involving healthcare items or services. Such laws are generally broad and are enforced by various state agencies and private actions. Also, many states have similar fraud and abuse statutes or regulations that may be broader in scope and may apply regardless of payor, in addition to items and services reimbursed under Medicaid and other state programs. Further, 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healthcare providers or marketing expenditures. In addition, certain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the federal Health Insurance Portability and Accountability Act of 1996 (“HIPAA”), thus complicating compliance efforts.</w:t>
      </w:r>
    </w:p>
    <w:p>
      <w:pPr>
        <w:spacing w:after="0" w:line="178"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especially in light of the lack of applicable precedent and regulations. Federal and state enforcement bodies regularly scrutinize interactions between healthcare companies and healthcare providers, which has led to a number of investigations, prosecutions, convictions and settlements in the healthcare industry. Failure to comply with these laws described above or any other governmental regulations that apply to us, may subject us to, without limitation, civil, criminal, and administrative penalties, damages, monetary fines, disgorgement, exclusion from government-funded healthcare programs, such as Medicare and Medicaid or similar programs in other countries or jurisdictions, integrity oversight and reporting obligations to resolve allegations of non-compliance, imprisonment, contractual damages, reputational harm, diminished profits and future earnings and curtailment or restructuring of our operations, any of which could adversely affect our business, financial condition and results of operations.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360"/>
          </w:cols>
          <w:pgMar w:left="1440" w:top="941" w:right="1440" w:bottom="348"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Employees and Human Capital</w:t>
      </w:r>
    </w:p>
    <w:p>
      <w:pPr>
        <w:spacing w:after="0" w:line="177" w:lineRule="exact"/>
        <w:rPr>
          <w:sz w:val="20"/>
          <w:szCs w:val="20"/>
          <w:color w:val="auto"/>
        </w:rPr>
      </w:pPr>
    </w:p>
    <w:p>
      <w:pPr>
        <w:jc w:val="both"/>
        <w:ind w:right="340"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2025, we employed 22 full-time employees. The 22 full-time employees were engaged in research and development, operations, finance, and business development. Five employees held Ph.D. degrees and one held an M.D. degree. Our employees are not represented by labor unions or covered under any collective bargaining agreements. We consider our relationship with our employees to be good.</w:t>
      </w:r>
    </w:p>
    <w:p>
      <w:pPr>
        <w:spacing w:after="0" w:line="169"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19"/>
          <w:szCs w:val="19"/>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and directors through the granting of stock-based compensation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77"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We lease a total of approximately 25,900 square feet of space across two buildings for our headquarters in Redwood City, California under a single lease agreement that expires in August 2026. Thereafter, at our option, we may extend the term for an additional five years to August 2031. In February 2026, we sublet approximately 13,400 square feet of the space under a short-term sublease agreement that runs through June 2026. We believe that our existing facilities are adequate to meet our current needs, and that suitable additional alternative spaces will be available in the future on commercially reasonable terms.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 and Insurance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business exposes us to potential liability including, but not limited to, potential liability for</w:t>
      </w:r>
    </w:p>
    <w:p>
      <w:pPr>
        <w:spacing w:after="0" w:line="17" w:lineRule="exact"/>
        <w:rPr>
          <w:sz w:val="20"/>
          <w:szCs w:val="20"/>
          <w:color w:val="auto"/>
        </w:rPr>
      </w:pPr>
    </w:p>
    <w:p>
      <w:pPr>
        <w:ind w:right="480"/>
        <w:spacing w:after="0" w:line="268" w:lineRule="auto"/>
        <w:tabs>
          <w:tab w:leader="none" w:pos="23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non-compliance with applicable laws and regulations, and (ii) employment-related claims. In certain circumstances, we may also be liable for the acts or omissions of others, such as suppliers of goods or services.</w:t>
      </w:r>
    </w:p>
    <w:p>
      <w:pPr>
        <w:spacing w:after="0" w:line="152"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We attempt to manage our potential liability to third parties through contractual protection (such as indemnification and limitation of liability provisions) in our contracts and through insurance. The contractual indemnification provisions vary in scope and generally do not protect us against all potential liabilities. In addition, in the event that we seek to enforce such an indemnification provision, the indemnifying party may not have sufficient resources to fully satisfy its indemnification obligations or may otherwise not comply with its contractual obligations.</w:t>
      </w:r>
    </w:p>
    <w:p>
      <w:pPr>
        <w:spacing w:after="0" w:line="158" w:lineRule="exact"/>
        <w:rPr>
          <w:sz w:val="20"/>
          <w:szCs w:val="20"/>
          <w:color w:val="auto"/>
        </w:rPr>
      </w:pPr>
    </w:p>
    <w:p>
      <w:pPr>
        <w:ind w:right="60" w:firstLine="480"/>
        <w:spacing w:after="0" w:line="268" w:lineRule="auto"/>
        <w:rPr>
          <w:sz w:val="20"/>
          <w:szCs w:val="20"/>
          <w:color w:val="auto"/>
        </w:rPr>
      </w:pPr>
      <w:r>
        <w:rPr>
          <w:rFonts w:ascii="Times New Roman" w:cs="Times New Roman" w:eastAsia="Times New Roman" w:hAnsi="Times New Roman"/>
          <w:sz w:val="19"/>
          <w:szCs w:val="19"/>
          <w:color w:val="auto"/>
        </w:rPr>
        <w:t>We currently maintain insurance coverage with limits we believe to be appropriate. The coverage provided by such insurance may not be adequate for all claims made, and such claims may be contested by applicable insurance carriers.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17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We were organized as a corporation under the laws of the State of Delaware on August 13, 2019 under the name “Amplitude Healthcare Acquisition Corporation”. On September 24, 2021, we consummated the previously announced business combination (the “Business Combination”) among us, Ample Merger Sub, Inc. (“Merger Sub”) and a private Delaware corporation that is now our wholly-owned subsidiary and named Jasper Tx Corp. (formerly known as Jasper Therapeutics) (“Old Jasper”). Pursuant to the terms of the Business Combination, a Business Combination or Reverse Recapitalization for accounting purposes between AMHC and Old Jasper was effected through the merger of Merger Sub with and into Old Jasper with Old Jasper surviving as AMHC’s wholly-owned subsidiary. In connection with the Business Combination, AMHC changed its name from Amplitude Healthcare Acquisition Corporation to Jasper Therapeutics, Inc.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Website Access to SEC Filings</w:t>
      </w:r>
    </w:p>
    <w:p>
      <w:pPr>
        <w:spacing w:after="0" w:line="177"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 xml:space="preserve">We file annual, quarterly and special reports, proxy statements and other information with the Securities and Exchange Commission (the “SEC”). The SEC maintains an Internet website at </w:t>
      </w:r>
      <w:r>
        <w:rPr>
          <w:rFonts w:ascii="Times New Roman" w:cs="Times New Roman" w:eastAsia="Times New Roman" w:hAnsi="Times New Roman"/>
          <w:sz w:val="20"/>
          <w:szCs w:val="20"/>
          <w:i w:val="1"/>
          <w:iCs w:val="1"/>
          <w:color w:val="auto"/>
        </w:rPr>
        <w:t>http://www.sec.gov</w:t>
      </w:r>
      <w:r>
        <w:rPr>
          <w:rFonts w:ascii="Times New Roman" w:cs="Times New Roman" w:eastAsia="Times New Roman" w:hAnsi="Times New Roman"/>
          <w:sz w:val="20"/>
          <w:szCs w:val="20"/>
          <w:color w:val="auto"/>
        </w:rPr>
        <w:t xml:space="preserve"> that contains reports, proxy and information statements, and other information regarding issuers that file electronically with the SEC, including Jasper. We maintain an Internet website at </w:t>
      </w:r>
      <w:r>
        <w:rPr>
          <w:rFonts w:ascii="Times New Roman" w:cs="Times New Roman" w:eastAsia="Times New Roman" w:hAnsi="Times New Roman"/>
          <w:sz w:val="20"/>
          <w:szCs w:val="20"/>
          <w:i w:val="1"/>
          <w:iCs w:val="1"/>
          <w:color w:val="auto"/>
        </w:rPr>
        <w:t>www.jaspertx.com</w:t>
      </w:r>
      <w:r>
        <w:rPr>
          <w:rFonts w:ascii="Times New Roman" w:cs="Times New Roman" w:eastAsia="Times New Roman" w:hAnsi="Times New Roman"/>
          <w:sz w:val="20"/>
          <w:szCs w:val="20"/>
          <w:color w:val="auto"/>
        </w:rPr>
        <w:t>.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or furnish this information to the SEC.</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360"/>
          </w:cols>
          <w:pgMar w:left="1440" w:top="941" w:right="1440" w:bottom="348"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79"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Investing in our common stock involves a high degree of risk. Before making an investment decision, you should carefully consider the risks described below before deciding whether to invest in our common stock.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below are not the only risks and uncertainties that we face. Additional risks and uncertainties not presently known to us or that we currently believe to be immaterial may become material and adversely affect our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 Factor Summary</w:t>
      </w:r>
    </w:p>
    <w:p>
      <w:pPr>
        <w:spacing w:after="0" w:line="177"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20"/>
          <w:szCs w:val="20"/>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and should be carefully considered, together with other information in this Annual Report on Form 10-K and our other filings with the SEC before making an investment decision regarding our common stock.</w:t>
      </w:r>
    </w:p>
    <w:p>
      <w:pPr>
        <w:spacing w:after="0" w:line="165" w:lineRule="exact"/>
        <w:rPr>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Financial Position and Need for Additional Capital, including, among others, that:</w:t>
      </w:r>
    </w:p>
    <w:p>
      <w:pPr>
        <w:spacing w:after="0" w:line="176" w:lineRule="exact"/>
        <w:rPr>
          <w:rFonts w:ascii="Times New Roman" w:cs="Times New Roman" w:eastAsia="Times New Roman" w:hAnsi="Times New Roman"/>
          <w:sz w:val="20"/>
          <w:szCs w:val="20"/>
          <w:color w:val="auto"/>
        </w:rPr>
      </w:pPr>
    </w:p>
    <w:p>
      <w:pPr>
        <w:ind w:left="1440" w:right="60" w:hanging="480"/>
        <w:spacing w:after="0" w:line="246"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significant net losses and negative operating cash flows since our inception which raises substantial doubt about our ability to continue as a going concern. We expect to incur net losses for the foreseeable future and may never achieve or maintain profitability.</w:t>
      </w:r>
    </w:p>
    <w:p>
      <w:pPr>
        <w:spacing w:after="0" w:line="172" w:lineRule="exact"/>
        <w:rPr>
          <w:rFonts w:ascii="Times New Roman" w:cs="Times New Roman" w:eastAsia="Times New Roman" w:hAnsi="Times New Roman"/>
          <w:sz w:val="20"/>
          <w:szCs w:val="20"/>
          <w:color w:val="auto"/>
        </w:rPr>
      </w:pPr>
    </w:p>
    <w:p>
      <w:pPr>
        <w:jc w:val="both"/>
        <w:ind w:left="1440" w:right="60" w:hanging="480"/>
        <w:spacing w:after="0" w:line="246"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need substantial additional funding, which may not be available on acceptable terms, or at all. If we are unable to raise capital when needed, we would be forced to delay, reduce or eliminate our research and product development programs or future commercialization efforts.</w:t>
      </w:r>
    </w:p>
    <w:p>
      <w:pPr>
        <w:spacing w:after="0" w:line="172" w:lineRule="exact"/>
        <w:rPr>
          <w:rFonts w:ascii="Times New Roman" w:cs="Times New Roman" w:eastAsia="Times New Roman" w:hAnsi="Times New Roman"/>
          <w:sz w:val="20"/>
          <w:szCs w:val="20"/>
          <w:color w:val="auto"/>
        </w:rPr>
      </w:pPr>
    </w:p>
    <w:p>
      <w:pPr>
        <w:ind w:left="1440" w:right="160" w:hanging="480"/>
        <w:spacing w:after="0" w:line="248"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our history of losses and negative cash flows from operations, our management has performed an analysis and concluded that substantial doubt exists about our ability to continue as a going concern, and we will need to raise additional financing to continue our products’ development.</w:t>
      </w:r>
    </w:p>
    <w:p>
      <w:pPr>
        <w:spacing w:after="0" w:line="169" w:lineRule="exact"/>
        <w:rPr>
          <w:rFonts w:ascii="Times New Roman" w:cs="Times New Roman" w:eastAsia="Times New Roman" w:hAnsi="Times New Roman"/>
          <w:sz w:val="20"/>
          <w:szCs w:val="20"/>
          <w:color w:val="auto"/>
        </w:rPr>
      </w:pPr>
    </w:p>
    <w:p>
      <w:pPr>
        <w:ind w:left="960" w:right="360" w:hanging="480"/>
        <w:spacing w:after="0" w:line="243" w:lineRule="auto"/>
        <w:tabs>
          <w:tab w:leader="none" w:pos="9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Discovery, Development, Manufacturing and Commercialization, including, among others, that:</w:t>
      </w:r>
    </w:p>
    <w:p>
      <w:pPr>
        <w:spacing w:after="0" w:line="174" w:lineRule="exact"/>
        <w:rPr>
          <w:rFonts w:ascii="Times New Roman" w:cs="Times New Roman" w:eastAsia="Times New Roman" w:hAnsi="Times New Roman"/>
          <w:sz w:val="20"/>
          <w:szCs w:val="20"/>
          <w:color w:val="auto"/>
        </w:rPr>
      </w:pPr>
    </w:p>
    <w:p>
      <w:pPr>
        <w:ind w:left="1440" w:right="140" w:hanging="480"/>
        <w:spacing w:after="0" w:line="248"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substantially dependent on the success of our most advanced product candidate, briquilimab. If we are unable to complete development of, obtain approval for and commercialize our product candidates, including briquilimab, in a timely manner or at all, our business will be harmed.</w:t>
      </w:r>
    </w:p>
    <w:p>
      <w:pPr>
        <w:spacing w:after="0" w:line="169" w:lineRule="exact"/>
        <w:rPr>
          <w:rFonts w:ascii="Times New Roman" w:cs="Times New Roman" w:eastAsia="Times New Roman" w:hAnsi="Times New Roman"/>
          <w:sz w:val="20"/>
          <w:szCs w:val="20"/>
          <w:color w:val="auto"/>
        </w:rPr>
      </w:pPr>
    </w:p>
    <w:p>
      <w:pPr>
        <w:ind w:left="1440" w:right="200" w:hanging="480"/>
        <w:spacing w:after="0" w:line="243"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the commencement or completion of clinical trials could result in increased costs to us and delay our ability to establish strategic collaborations.</w:t>
      </w:r>
    </w:p>
    <w:p>
      <w:pPr>
        <w:spacing w:after="0" w:line="174" w:lineRule="exact"/>
        <w:rPr>
          <w:rFonts w:ascii="Times New Roman" w:cs="Times New Roman" w:eastAsia="Times New Roman" w:hAnsi="Times New Roman"/>
          <w:sz w:val="20"/>
          <w:szCs w:val="20"/>
          <w:color w:val="auto"/>
        </w:rPr>
      </w:pPr>
    </w:p>
    <w:p>
      <w:pPr>
        <w:ind w:left="1440" w:right="200" w:hanging="480"/>
        <w:spacing w:after="0" w:line="246"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successful in our efforts to develop and commercialize briquilimab in additional indications or to identify additional product candidates. If these efforts are unsuccessful, we may never become a commercial stage company or generate any revenues.</w:t>
      </w:r>
    </w:p>
    <w:p>
      <w:pPr>
        <w:spacing w:after="0" w:line="172" w:lineRule="exact"/>
        <w:rPr>
          <w:rFonts w:ascii="Times New Roman" w:cs="Times New Roman" w:eastAsia="Times New Roman" w:hAnsi="Times New Roman"/>
          <w:sz w:val="20"/>
          <w:szCs w:val="20"/>
          <w:color w:val="auto"/>
        </w:rPr>
      </w:pPr>
    </w:p>
    <w:p>
      <w:pPr>
        <w:ind w:left="1440" w:right="280" w:hanging="480"/>
        <w:spacing w:after="0" w:line="246"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2" w:lineRule="exact"/>
        <w:rPr>
          <w:rFonts w:ascii="Times New Roman" w:cs="Times New Roman" w:eastAsia="Times New Roman" w:hAnsi="Times New Roman"/>
          <w:sz w:val="20"/>
          <w:szCs w:val="20"/>
          <w:color w:val="auto"/>
        </w:rPr>
      </w:pPr>
    </w:p>
    <w:p>
      <w:pPr>
        <w:ind w:left="1440" w:right="20" w:hanging="480"/>
        <w:spacing w:after="0" w:line="248"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our product candidates cause serious adverse events, undesirable side effects or unexpected characteristics, such events, side effects or characteristics could delay or prevent regulatory approval of the product candidate, limit our commercial potential or result in significant negative consequences following any potential marketing approval.</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360"/>
          </w:cols>
          <w:pgMar w:left="1440" w:top="941" w:right="1440" w:bottom="348" w:gutter="0" w:footer="0" w:header="0"/>
          <w:type w:val="continuous"/>
        </w:sectPr>
      </w:pPr>
    </w:p>
    <w:bookmarkStart w:id="31" w:name="page32"/>
    <w:bookmarkEnd w:id="31"/>
    <w:p>
      <w:pPr>
        <w:ind w:left="1440" w:hanging="480"/>
        <w:spacing w:after="0" w:line="248"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preclinical studies and early clinical trials may not be predictive of results of future clinical trials, and such results do not guarantee approval of a product candidate by regulatory authorities. In addition, our clinical trials to date have been limited in scope, and results received to date may not be replicated in expanded or additional future clinical trials.</w:t>
      </w:r>
    </w:p>
    <w:p>
      <w:pPr>
        <w:spacing w:after="0" w:line="169" w:lineRule="exact"/>
        <w:rPr>
          <w:rFonts w:ascii="Times New Roman" w:cs="Times New Roman" w:eastAsia="Times New Roman" w:hAnsi="Times New Roman"/>
          <w:sz w:val="20"/>
          <w:szCs w:val="20"/>
          <w:color w:val="auto"/>
        </w:rPr>
      </w:pPr>
    </w:p>
    <w:p>
      <w:pPr>
        <w:ind w:left="1440" w:right="140" w:hanging="480"/>
        <w:spacing w:after="0" w:line="268" w:lineRule="auto"/>
        <w:tabs>
          <w:tab w:leader="none" w:pos="144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never obtained regulatory approval for a drug, may never receive regulatory approval for any of our product candidates, and may therefore never generate revenues from product sales.</w:t>
      </w:r>
    </w:p>
    <w:p>
      <w:pPr>
        <w:spacing w:after="0" w:line="152" w:lineRule="exact"/>
        <w:rPr>
          <w:rFonts w:ascii="Times New Roman" w:cs="Times New Roman" w:eastAsia="Times New Roman" w:hAnsi="Times New Roman"/>
          <w:sz w:val="19"/>
          <w:szCs w:val="19"/>
          <w:color w:val="auto"/>
        </w:rPr>
      </w:pPr>
    </w:p>
    <w:p>
      <w:pPr>
        <w:ind w:left="1440" w:hanging="480"/>
        <w:spacing w:after="0" w:line="248"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Regulatory Review, including, among others, that:</w:t>
      </w:r>
    </w:p>
    <w:p>
      <w:pPr>
        <w:spacing w:after="0" w:line="176" w:lineRule="exact"/>
        <w:rPr>
          <w:rFonts w:ascii="Times New Roman" w:cs="Times New Roman" w:eastAsia="Times New Roman" w:hAnsi="Times New Roman"/>
          <w:sz w:val="20"/>
          <w:szCs w:val="20"/>
          <w:color w:val="auto"/>
        </w:rPr>
      </w:pPr>
    </w:p>
    <w:p>
      <w:pPr>
        <w:ind w:left="1440" w:right="40" w:hanging="480"/>
        <w:spacing w:after="0" w:line="248"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Relationships with Third Parties, including, among others, that:</w:t>
      </w:r>
    </w:p>
    <w:p>
      <w:pPr>
        <w:spacing w:after="0" w:line="176" w:lineRule="exact"/>
        <w:rPr>
          <w:rFonts w:ascii="Times New Roman" w:cs="Times New Roman" w:eastAsia="Times New Roman" w:hAnsi="Times New Roman"/>
          <w:sz w:val="20"/>
          <w:szCs w:val="20"/>
          <w:color w:val="auto"/>
        </w:rPr>
      </w:pPr>
    </w:p>
    <w:p>
      <w:pPr>
        <w:ind w:left="1440" w:right="100" w:hanging="480"/>
        <w:spacing w:after="0" w:line="248"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 parties to conduct our preclinical and clinical trials and will rely on them to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65"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rely on a single manufacturer for our clinical supply of our product candidates.</w:t>
      </w:r>
    </w:p>
    <w:p>
      <w:pPr>
        <w:spacing w:after="0" w:line="16" w:lineRule="exact"/>
        <w:rPr>
          <w:rFonts w:ascii="Times New Roman" w:cs="Times New Roman" w:eastAsia="Times New Roman" w:hAnsi="Times New Roman"/>
          <w:sz w:val="20"/>
          <w:szCs w:val="20"/>
          <w:color w:val="auto"/>
        </w:rPr>
      </w:pPr>
    </w:p>
    <w:p>
      <w:pPr>
        <w:ind w:left="1440" w:right="60"/>
        <w:spacing w:after="0" w:line="24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loss of this manufacturer, or a failure by such manufacturer to comply with FDA regulations, we may not be able to find an alternative source on commercially reasonable terms, or at all. In addition, third-party manufacturers and any third-party collaborators may be unable to successfully scale-up manufacturing of our current or future product candidates in sufficient quality and quantity, which would delay or prevent us from developing our product candidates and commercializing approved products, if any.</w:t>
      </w:r>
    </w:p>
    <w:p>
      <w:pPr>
        <w:spacing w:after="0" w:line="161"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Our Intellectual Property, including, among others, that:</w:t>
      </w:r>
    </w:p>
    <w:p>
      <w:pPr>
        <w:spacing w:after="0" w:line="176" w:lineRule="exact"/>
        <w:rPr>
          <w:rFonts w:ascii="Times New Roman" w:cs="Times New Roman" w:eastAsia="Times New Roman" w:hAnsi="Times New Roman"/>
          <w:sz w:val="20"/>
          <w:szCs w:val="20"/>
          <w:color w:val="auto"/>
        </w:rPr>
      </w:pPr>
    </w:p>
    <w:p>
      <w:pPr>
        <w:ind w:left="1440" w:right="100" w:hanging="480"/>
        <w:spacing w:after="0" w:line="243"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highly dependent on intellectual property licensed from third parties, and termination of any of these licenses could result in the loss of significant rights, which would harm our business.</w:t>
      </w:r>
    </w:p>
    <w:p>
      <w:pPr>
        <w:spacing w:after="0" w:line="174" w:lineRule="exact"/>
        <w:rPr>
          <w:rFonts w:ascii="Times New Roman" w:cs="Times New Roman" w:eastAsia="Times New Roman" w:hAnsi="Times New Roman"/>
          <w:sz w:val="20"/>
          <w:szCs w:val="20"/>
          <w:color w:val="auto"/>
        </w:rPr>
      </w:pPr>
    </w:p>
    <w:p>
      <w:pPr>
        <w:ind w:left="1440" w:right="380" w:hanging="480"/>
        <w:spacing w:after="0" w:line="243"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commercial success depends on our ability to obtain, maintain and protect our intellectual property and proprietary technology.</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Ownership of Our Common Stock and Warrants, including, among others, that:</w:t>
      </w:r>
    </w:p>
    <w:p>
      <w:pPr>
        <w:spacing w:after="0" w:line="176" w:lineRule="exact"/>
        <w:rPr>
          <w:rFonts w:ascii="Times New Roman" w:cs="Times New Roman" w:eastAsia="Times New Roman" w:hAnsi="Times New Roman"/>
          <w:sz w:val="20"/>
          <w:szCs w:val="20"/>
          <w:color w:val="auto"/>
        </w:rPr>
      </w:pPr>
    </w:p>
    <w:p>
      <w:pPr>
        <w:ind w:left="1440" w:right="80" w:hanging="480"/>
        <w:spacing w:after="0" w:line="246"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and will continue to incur significant increased expenses and administrative burdens as a public company, which could negatively impact our business, financial condition and 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Additional Capital</w:t>
      </w:r>
    </w:p>
    <w:p>
      <w:pPr>
        <w:spacing w:after="0" w:line="259" w:lineRule="exact"/>
        <w:rPr>
          <w:sz w:val="20"/>
          <w:szCs w:val="20"/>
          <w:color w:val="auto"/>
        </w:rPr>
      </w:pPr>
    </w:p>
    <w:p>
      <w:pPr>
        <w:ind w:right="6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and negative operating cash flows since our inception which raises substantial doubt about our ability to continue as a going concern. We expect to incur net losses for the foreseeable future and may never achieve or maintain profitability.</w:t>
      </w:r>
    </w:p>
    <w:p>
      <w:pPr>
        <w:spacing w:after="0" w:line="173" w:lineRule="exact"/>
        <w:rPr>
          <w:sz w:val="20"/>
          <w:szCs w:val="20"/>
          <w:color w:val="auto"/>
        </w:rPr>
      </w:pPr>
    </w:p>
    <w:p>
      <w:pPr>
        <w:ind w:right="340" w:firstLine="480"/>
        <w:spacing w:after="0" w:line="265" w:lineRule="auto"/>
        <w:rPr>
          <w:sz w:val="20"/>
          <w:szCs w:val="20"/>
          <w:color w:val="auto"/>
        </w:rPr>
      </w:pPr>
      <w:r>
        <w:rPr>
          <w:rFonts w:ascii="Times New Roman" w:cs="Times New Roman" w:eastAsia="Times New Roman" w:hAnsi="Times New Roman"/>
          <w:sz w:val="19"/>
          <w:szCs w:val="19"/>
          <w:color w:val="auto"/>
        </w:rPr>
        <w:t>We are a clinical-stage biotechnology company dedicated to enabling cures through therapeutics targeting mast and hematopoietic stem cells and have a limited operating history. Investment in biopharmaceutical product development is highly speculative because it entails substantial upfront capital expenditures and significant risk that any potential product candidate will fail to demonstrate adequate effect or an acceptable safety profile, gain</w:t>
      </w:r>
    </w:p>
    <w:p>
      <w:pPr>
        <w:sectPr>
          <w:pgSz w:w="12240" w:h="15840" w:orient="portrait"/>
          <w:cols w:equalWidth="0" w:num="1">
            <w:col w:w="9360"/>
          </w:cols>
          <w:pgMar w:left="1440" w:top="948" w:right="1440" w:bottom="348"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360"/>
          </w:cols>
          <w:pgMar w:left="1440" w:top="948" w:right="1440" w:bottom="348" w:gutter="0" w:footer="0" w:header="0"/>
          <w:type w:val="continuous"/>
        </w:sectPr>
      </w:pPr>
    </w:p>
    <w:bookmarkStart w:id="32" w:name="page33"/>
    <w:bookmarkEnd w:id="32"/>
    <w:p>
      <w:pPr>
        <w:ind w:right="140"/>
        <w:spacing w:after="0" w:line="264" w:lineRule="auto"/>
        <w:rPr>
          <w:sz w:val="20"/>
          <w:szCs w:val="20"/>
          <w:color w:val="auto"/>
        </w:rPr>
      </w:pPr>
      <w:r>
        <w:rPr>
          <w:rFonts w:ascii="Times New Roman" w:cs="Times New Roman" w:eastAsia="Times New Roman" w:hAnsi="Times New Roman"/>
          <w:sz w:val="19"/>
          <w:szCs w:val="19"/>
          <w:color w:val="auto"/>
        </w:rPr>
        <w:t>regulatory approval and become commercially viable. We have no products approved for commercial sale and have not generated any revenue from product sales to date, and we continue to incur significant research and development and other expenses related to our ongoing operations. As a result, we are not profitable and have incurred losses and negative operating cash flows in each period since our inception, which raises substantial doubt about our ability to continue as a going concern beyond one year from the date of filing of this Annual Report on Form 10-K. See below risk factor, “As a result of our history of losses and negative cash flows from operations, our management has performed an analysis and concluded that substantial doubt exists about our ability to continue as a going concern, and we will need to raise additional financing to continue our products’ development.” for additional details. For the years ended December 31, 2025 and 2024, we reported net losses of $75.8 million and $71.3 million, respectively. For the years ended December 31, 2025 and 2024, we reported negative operating cash flows of $77.2 million and $62.6 million, respectively. As of December 31, 2025, we had an accumulated deficit of $316.7 million. We have devoted all of our efforts to organizing and staffing our company, business and scientific planning, raising capital, acquiring and developing technology, identifying potential product candidates, undertaking research and preclinical studies of potential product candidates, developing manufacturing capabilities and evaluating a clinical path for our pipeline programs. We expect to continue to incur significant expenses and increasing operating losses for the foreseeable future, and we expect these losses to increase as we continue our research and development of, and seek regulatory approvals for, our product candidates.</w:t>
      </w:r>
    </w:p>
    <w:p>
      <w:pPr>
        <w:spacing w:after="0" w:line="395" w:lineRule="exact"/>
        <w:rPr>
          <w:sz w:val="20"/>
          <w:szCs w:val="20"/>
          <w:color w:val="auto"/>
        </w:rPr>
      </w:pPr>
    </w:p>
    <w:p>
      <w:pPr>
        <w:ind w:right="320" w:firstLine="480"/>
        <w:spacing w:after="0" w:line="243" w:lineRule="auto"/>
        <w:rPr>
          <w:sz w:val="20"/>
          <w:szCs w:val="20"/>
          <w:color w:val="auto"/>
        </w:rPr>
      </w:pPr>
      <w:r>
        <w:rPr>
          <w:rFonts w:ascii="Times New Roman" w:cs="Times New Roman" w:eastAsia="Times New Roman" w:hAnsi="Times New Roman"/>
          <w:sz w:val="20"/>
          <w:szCs w:val="20"/>
          <w:color w:val="auto"/>
        </w:rPr>
        <w:t>The net losses we incur may fluctuate significantly from quarter to quarter. We anticipate that our expenses will increase substantially if and as we:</w:t>
      </w:r>
    </w:p>
    <w:p>
      <w:pPr>
        <w:spacing w:after="0" w:line="174" w:lineRule="exact"/>
        <w:rPr>
          <w:sz w:val="20"/>
          <w:szCs w:val="20"/>
          <w:color w:val="auto"/>
        </w:rPr>
      </w:pPr>
    </w:p>
    <w:p>
      <w:pPr>
        <w:ind w:left="960" w:right="40" w:hanging="480"/>
        <w:spacing w:after="0" w:line="243"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the clinical development of briquilimab in chronic diseases such as CSU and Chronic Inducible Urticaria (“CIndU”);</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 to continue development of briquilimab in allergic asthma;</w:t>
      </w:r>
    </w:p>
    <w:p>
      <w:pPr>
        <w:spacing w:after="0" w:line="176" w:lineRule="exact"/>
        <w:rPr>
          <w:rFonts w:ascii="Times New Roman" w:cs="Times New Roman" w:eastAsia="Times New Roman" w:hAnsi="Times New Roman"/>
          <w:sz w:val="20"/>
          <w:szCs w:val="20"/>
          <w:color w:val="auto"/>
        </w:rPr>
      </w:pPr>
    </w:p>
    <w:p>
      <w:pPr>
        <w:ind w:left="960" w:right="100" w:hanging="480"/>
        <w:spacing w:after="0" w:line="243"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our current research programs and development of other potential product candidates from our current research programs;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to identify additional product candidates and research programs;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preclinical testing and clinical trials for any other product candidates we identify and develop;</w:t>
      </w:r>
    </w:p>
    <w:p>
      <w:pPr>
        <w:spacing w:after="0" w:line="176" w:lineRule="exact"/>
        <w:rPr>
          <w:rFonts w:ascii="Times New Roman" w:cs="Times New Roman" w:eastAsia="Times New Roman" w:hAnsi="Times New Roman"/>
          <w:sz w:val="20"/>
          <w:szCs w:val="20"/>
          <w:color w:val="auto"/>
        </w:rPr>
      </w:pPr>
    </w:p>
    <w:p>
      <w:pPr>
        <w:ind w:left="960" w:right="960" w:hanging="480"/>
        <w:spacing w:after="0" w:line="243"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expand, enforce, defend and protect our intellectual property portfolio, and provide reimbursement of third-party expenses related to our patent portfolio;</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approvals for any product candidates that successfully complete clinical trials;</w:t>
      </w:r>
    </w:p>
    <w:p>
      <w:pPr>
        <w:spacing w:after="0" w:line="176" w:lineRule="exact"/>
        <w:rPr>
          <w:rFonts w:ascii="Times New Roman" w:cs="Times New Roman" w:eastAsia="Times New Roman" w:hAnsi="Times New Roman"/>
          <w:sz w:val="20"/>
          <w:szCs w:val="20"/>
          <w:color w:val="auto"/>
        </w:rPr>
      </w:pPr>
    </w:p>
    <w:p>
      <w:pPr>
        <w:ind w:left="960" w:right="500" w:hanging="480"/>
        <w:spacing w:after="0" w:line="243"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ultimately establish a sales, marketing and distribution infrastructure to commercialize any product candidates for which we may obtain marketing approval;</w:t>
      </w:r>
    </w:p>
    <w:p>
      <w:pPr>
        <w:spacing w:after="0" w:line="174" w:lineRule="exact"/>
        <w:rPr>
          <w:rFonts w:ascii="Times New Roman" w:cs="Times New Roman" w:eastAsia="Times New Roman" w:hAnsi="Times New Roman"/>
          <w:sz w:val="20"/>
          <w:szCs w:val="20"/>
          <w:color w:val="auto"/>
        </w:rPr>
      </w:pPr>
    </w:p>
    <w:p>
      <w:pPr>
        <w:ind w:left="960" w:right="120" w:hanging="480"/>
        <w:spacing w:after="0" w:line="243"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 our regulatory compliance efforts to incorporate requirements applicable to any approved product candidates;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additional research and development and clinical personnel;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commercial personnel and advance market access and reimbursement strategies;</w:t>
      </w:r>
    </w:p>
    <w:p>
      <w:pPr>
        <w:spacing w:after="0" w:line="176" w:lineRule="exact"/>
        <w:rPr>
          <w:rFonts w:ascii="Times New Roman" w:cs="Times New Roman" w:eastAsia="Times New Roman" w:hAnsi="Times New Roman"/>
          <w:sz w:val="20"/>
          <w:szCs w:val="20"/>
          <w:color w:val="auto"/>
        </w:rPr>
      </w:pPr>
    </w:p>
    <w:p>
      <w:pPr>
        <w:ind w:left="960" w:right="200" w:hanging="480"/>
        <w:spacing w:after="0" w:line="243"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product development;</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product candidates, intellectual property and technologies;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or in-license manufacturing and distribution technologies;</w:t>
      </w:r>
    </w:p>
    <w:p>
      <w:pPr>
        <w:spacing w:after="0" w:line="176" w:lineRule="exact"/>
        <w:rPr>
          <w:rFonts w:ascii="Times New Roman" w:cs="Times New Roman" w:eastAsia="Times New Roman" w:hAnsi="Times New Roman"/>
          <w:sz w:val="20"/>
          <w:szCs w:val="20"/>
          <w:color w:val="auto"/>
        </w:rPr>
      </w:pPr>
    </w:p>
    <w:p>
      <w:pPr>
        <w:jc w:val="both"/>
        <w:ind w:left="960" w:right="60" w:hanging="480"/>
        <w:spacing w:after="0" w:line="246" w:lineRule="auto"/>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should we decide to do so and receive approval for any of our product candidates, build and maintain, or purchase and validate, commercial-scale manufacturing facilities designed to comply with current Good Manufacturing Practices (“cGMP”) requirements; and</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legal, accounting and other expenses in operating as a public company.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948" w:right="1440" w:bottom="348" w:gutter="0" w:footer="0" w:header="0"/>
          <w:type w:val="continuous"/>
        </w:sectPr>
      </w:pPr>
    </w:p>
    <w:bookmarkStart w:id="33" w:name="page34"/>
    <w:bookmarkEnd w:id="33"/>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As a company, we have not completed clinical development of any product candidate and expect that it will be several years, if ever, before we have a product candidate ready for commercialization. To become and remain profitable, we must develop and, either directly or through collaborators, eventually commercialize a product or products with significant market potential. This will require us to be successful in a range of challenging activities, including identifying product candidates, completing preclinical testing and clinical trials of product candidates, obtaining marketing approval for these product candidates, manufacturing, marketing and selling those products for which we may obtain marketing approval and satisfying any post-marketing requirements.</w:t>
      </w:r>
    </w:p>
    <w:p>
      <w:pPr>
        <w:spacing w:after="0" w:line="170" w:lineRule="exact"/>
        <w:rPr>
          <w:sz w:val="20"/>
          <w:szCs w:val="20"/>
          <w:color w:val="auto"/>
        </w:rPr>
      </w:pPr>
    </w:p>
    <w:p>
      <w:pPr>
        <w:ind w:right="180" w:firstLine="480"/>
        <w:spacing w:after="0" w:line="264" w:lineRule="auto"/>
        <w:rPr>
          <w:sz w:val="20"/>
          <w:szCs w:val="20"/>
          <w:color w:val="auto"/>
        </w:rPr>
      </w:pPr>
      <w:r>
        <w:rPr>
          <w:rFonts w:ascii="Times New Roman" w:cs="Times New Roman" w:eastAsia="Times New Roman" w:hAnsi="Times New Roman"/>
          <w:sz w:val="19"/>
          <w:szCs w:val="19"/>
          <w:color w:val="auto"/>
        </w:rPr>
        <w:t>We may never succeed in these activities and, even if we do, may never generate revenues that are significant or large enough to achieve profitability. Our product candidates and research programs are currently only in the early stages of development. Because of the numerous risks and uncertainties associated with developing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spacing w:after="0" w:line="240" w:lineRule="exact"/>
        <w:rPr>
          <w:sz w:val="20"/>
          <w:szCs w:val="20"/>
          <w:color w:val="auto"/>
        </w:rPr>
      </w:pPr>
    </w:p>
    <w:p>
      <w:pPr>
        <w:jc w:val="both"/>
        <w:ind w:right="2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will need substantial additional funding, which may not be available on acceptable terms, or at all. If we are unable to raise capital when needed, we would be forced to delay, reduce or eliminate our research and product development programs or future commercialization efforts.</w:t>
      </w:r>
    </w:p>
    <w:p>
      <w:pPr>
        <w:spacing w:after="0" w:line="173" w:lineRule="exact"/>
        <w:rPr>
          <w:sz w:val="20"/>
          <w:szCs w:val="20"/>
          <w:color w:val="auto"/>
        </w:rPr>
      </w:pPr>
    </w:p>
    <w:p>
      <w:pPr>
        <w:ind w:right="200" w:firstLine="480"/>
        <w:spacing w:after="0" w:line="263" w:lineRule="auto"/>
        <w:rPr>
          <w:sz w:val="20"/>
          <w:szCs w:val="20"/>
          <w:color w:val="auto"/>
        </w:rPr>
      </w:pPr>
      <w:r>
        <w:rPr>
          <w:rFonts w:ascii="Times New Roman" w:cs="Times New Roman" w:eastAsia="Times New Roman" w:hAnsi="Times New Roman"/>
          <w:sz w:val="19"/>
          <w:szCs w:val="19"/>
          <w:color w:val="auto"/>
        </w:rPr>
        <w:t>We expect to spend substantial amounts of cash to conduct further research and development and preclinical testing and clinical trials of our product candidates, to seek regulatory approvals for our product candidates and to launch and commercialize any product candidates for which we receive regulatory approval. Furthermore, we expect to incur additional costs associated with operating as a public company. Accordingly, we will need to obtain substantial additional funding in order to maintain our continuing operations. If we are unable to raise capital when needed or on attractive terms, we would be forced to delay, reduce or eliminate our research and product development programs or future commercialization efforts. For example, advancing any future clinical studies</w:t>
      </w:r>
    </w:p>
    <w:p>
      <w:pPr>
        <w:spacing w:after="0" w:line="4" w:lineRule="exact"/>
        <w:rPr>
          <w:sz w:val="20"/>
          <w:szCs w:val="20"/>
          <w:color w:val="auto"/>
        </w:rPr>
      </w:pPr>
    </w:p>
    <w:p>
      <w:pPr>
        <w:ind w:right="320"/>
        <w:spacing w:after="0" w:line="263" w:lineRule="auto"/>
        <w:rPr>
          <w:sz w:val="20"/>
          <w:szCs w:val="20"/>
          <w:color w:val="auto"/>
        </w:rPr>
      </w:pPr>
      <w:r>
        <w:rPr>
          <w:rFonts w:ascii="Times New Roman" w:cs="Times New Roman" w:eastAsia="Times New Roman" w:hAnsi="Times New Roman"/>
          <w:sz w:val="19"/>
          <w:szCs w:val="19"/>
          <w:color w:val="auto"/>
        </w:rPr>
        <w:t>in asthma would be based on an evaluation of the competitive landscape, the potential for strategic partnerships and capital availability. As of December 31, 2025, our cash and cash equivalents were $28.7 million and we had an accumulated deficit of $316.7 million. Although we raised net proceeds of $27.5 million in September 2025 in connection with the issuance and sale of 11,670,707 shares of common stock, pre-funded warrants to purchase up to an aggregate of 675,000 shares of common stock and common warrants to purchase up to an aggregate</w:t>
      </w:r>
    </w:p>
    <w:p>
      <w:pPr>
        <w:spacing w:after="0" w:line="3"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color w:val="auto"/>
        </w:rPr>
        <w:t>of 12,345,707 shares of common stock, we will need to raise additional financing to continue our products’ development for the foreseeable future, and will continue to need to do so until we become profitable. Our future financing requirements will depend on many factors, including:</w:t>
      </w:r>
    </w:p>
    <w:p>
      <w:pPr>
        <w:spacing w:after="0" w:line="173" w:lineRule="exact"/>
        <w:rPr>
          <w:sz w:val="20"/>
          <w:szCs w:val="20"/>
          <w:color w:val="auto"/>
        </w:rPr>
      </w:pPr>
    </w:p>
    <w:p>
      <w:pPr>
        <w:ind w:left="960" w:right="160" w:hanging="480"/>
        <w:spacing w:after="0" w:line="243"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progress, timing, costs and results of preclinical studies and clinical trials for our product candidates;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continuing to build our technology platform for use in developing our product candidates;</w:t>
      </w:r>
    </w:p>
    <w:p>
      <w:pPr>
        <w:spacing w:after="0" w:line="176" w:lineRule="exact"/>
        <w:rPr>
          <w:rFonts w:ascii="Times New Roman" w:cs="Times New Roman" w:eastAsia="Times New Roman" w:hAnsi="Times New Roman"/>
          <w:sz w:val="20"/>
          <w:szCs w:val="20"/>
          <w:color w:val="auto"/>
        </w:rPr>
      </w:pPr>
    </w:p>
    <w:p>
      <w:pPr>
        <w:ind w:left="960" w:right="400" w:hanging="480"/>
        <w:spacing w:after="0" w:line="243"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developing, acquiring or in-licensing additional targeted therapies to use in combination with briquilimab and other product candidates we may develop;</w:t>
      </w:r>
    </w:p>
    <w:p>
      <w:pPr>
        <w:spacing w:after="0" w:line="174" w:lineRule="exact"/>
        <w:rPr>
          <w:rFonts w:ascii="Times New Roman" w:cs="Times New Roman" w:eastAsia="Times New Roman" w:hAnsi="Times New Roman"/>
          <w:sz w:val="20"/>
          <w:szCs w:val="20"/>
          <w:color w:val="auto"/>
        </w:rPr>
      </w:pPr>
    </w:p>
    <w:p>
      <w:pPr>
        <w:ind w:left="960" w:right="460" w:hanging="480"/>
        <w:spacing w:after="0" w:line="246"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enforcing our intellectual property and proprietary rights and defending intellectual property-related claims in the United States and internationally;</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characteristics of product candidates that we develop or may in-license;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collaborations on favorable terms, if at all;</w:t>
      </w:r>
    </w:p>
    <w:p>
      <w:pPr>
        <w:spacing w:after="0" w:line="176" w:lineRule="exact"/>
        <w:rPr>
          <w:rFonts w:ascii="Times New Roman" w:cs="Times New Roman" w:eastAsia="Times New Roman" w:hAnsi="Times New Roman"/>
          <w:sz w:val="20"/>
          <w:szCs w:val="20"/>
          <w:color w:val="auto"/>
        </w:rPr>
      </w:pPr>
    </w:p>
    <w:p>
      <w:pPr>
        <w:ind w:left="960" w:right="420" w:hanging="480"/>
        <w:spacing w:after="0" w:line="243"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achievement of milestones or occurrence of other developments that trigger payments under any collaboration agreements we enter into;</w:t>
      </w:r>
    </w:p>
    <w:p>
      <w:pPr>
        <w:spacing w:after="0" w:line="174" w:lineRule="exact"/>
        <w:rPr>
          <w:rFonts w:ascii="Times New Roman" w:cs="Times New Roman" w:eastAsia="Times New Roman" w:hAnsi="Times New Roman"/>
          <w:sz w:val="20"/>
          <w:szCs w:val="20"/>
          <w:color w:val="auto"/>
        </w:rPr>
      </w:pPr>
    </w:p>
    <w:p>
      <w:pPr>
        <w:ind w:left="960" w:right="160" w:hanging="480"/>
        <w:spacing w:after="0" w:line="246" w:lineRule="auto"/>
        <w:tabs>
          <w:tab w:leader="none" w:pos="9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timing and cost of meeting regulatory requirements established by the U.S. Food and Drug Administration (the “FDA”), the European Medicines Agency (the “EMA”) and other comparable foreign regulatory authorities;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948" w:right="1440" w:bottom="348" w:gutter="0" w:footer="0" w:header="0"/>
          <w:type w:val="continuous"/>
        </w:sectPr>
      </w:pPr>
    </w:p>
    <w:bookmarkStart w:id="34" w:name="page35"/>
    <w:bookmarkEnd w:id="34"/>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completion of commercial-scale outsourced manufacturing activities;</w:t>
      </w:r>
    </w:p>
    <w:p>
      <w:pPr>
        <w:spacing w:after="0" w:line="176" w:lineRule="exact"/>
        <w:rPr>
          <w:rFonts w:ascii="Times New Roman" w:cs="Times New Roman" w:eastAsia="Times New Roman" w:hAnsi="Times New Roman"/>
          <w:sz w:val="20"/>
          <w:szCs w:val="20"/>
          <w:color w:val="auto"/>
        </w:rPr>
      </w:pPr>
    </w:p>
    <w:p>
      <w:pPr>
        <w:ind w:left="960" w:right="20" w:hanging="480"/>
        <w:spacing w:after="0" w:line="246" w:lineRule="auto"/>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establishing sales, marketing and distribution capabilities for any product candidates for which we may receive regulatory approval in regions where we choose to commercialize our products on our own; and</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177"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Conducting preclinical testing and clinical trials is a time-consuming, expensive and uncertain process that takes years to complete, and we may never generate the necessary data or results required to obtain marketing approval and achieve product sales. In addition, even if we successfully develop product candidates and those are approved, we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w:t>
      </w:r>
    </w:p>
    <w:p>
      <w:pPr>
        <w:spacing w:after="0" w:line="168" w:lineRule="exact"/>
        <w:rPr>
          <w:sz w:val="20"/>
          <w:szCs w:val="20"/>
          <w:color w:val="auto"/>
        </w:rPr>
      </w:pPr>
    </w:p>
    <w:p>
      <w:pPr>
        <w:ind w:right="200" w:firstLine="480"/>
        <w:spacing w:after="0" w:line="246" w:lineRule="auto"/>
        <w:rPr>
          <w:sz w:val="20"/>
          <w:szCs w:val="20"/>
          <w:color w:val="auto"/>
        </w:rPr>
      </w:pPr>
      <w:r>
        <w:rPr>
          <w:rFonts w:ascii="Times New Roman" w:cs="Times New Roman" w:eastAsia="Times New Roman" w:hAnsi="Times New Roman"/>
          <w:sz w:val="20"/>
          <w:szCs w:val="20"/>
          <w:color w:val="auto"/>
        </w:rPr>
        <w:t>We currently have an effective universal shelf registration statement on Form S-3, which we filed with the SEC on March 19, 2025, and which was declared effective on March 26, 2025 and will expire on March 26, 2028 (the “Shelf Registration Statement”). Pursuant to the Shelf Registration Statement, we may offer from time to time up to an aggregate of $300.0 million of securities, including any combination of common stock, preferred stock, debt securities, warrants, rights, units and depositary shares. On March 19, 2025,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20"/>
          <w:szCs w:val="20"/>
          <w:color w:val="auto"/>
        </w:rPr>
        <w:t xml:space="preserve"> with Jefferies LLC (the “Agent”), pursuant to which we may offer and sell through or to the Agent, as sales agent or principal, shares of common stock from time to time (the “ATM Offering”). On March 26, 2025, we filed with the SEC a prospectus under the Shelf Registration Statement in connection with the ATM Offering (the “ATM Prospectus”), pursuant to which we may offer and sell shares of our common stock having an aggregate offering price of up to $100.0 million. As of December 31, 2025, we have issued and sold an aggregate of 1,231,447 shares of our common stock for net proceeds of approximately $6.5 million pursuant to the ATM Prospectus.</w:t>
      </w:r>
    </w:p>
    <w:p>
      <w:pPr>
        <w:spacing w:after="0" w:line="176"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On September 22, 2025, we completed an underwritten public offering of our common stock (the “September Offering”) pursuant to the Shelf Registration Statement. In the September Offering, we sold (i) an aggregate of 11,670,707 shares of common stock and accompanying warrants (the “Common Warrants”) to purchase up to an aggregate of 11,670,707 shares of common stock and (ii) pre-funded warrants to purchase up to an aggregate of 675,000 shares of common stock (the “Pre-Funded Warrants”) and accompanying Common Warrants to purchase up to an aggregate of 675,000 shares of common stock. Upon the closing of the September Offering, we received net proceeds of $27.5 million, after deducting underwriting discounts, commissions and other offering expenses.</w:t>
      </w:r>
    </w:p>
    <w:p>
      <w:pPr>
        <w:spacing w:after="0" w:line="170" w:lineRule="exact"/>
        <w:rPr>
          <w:sz w:val="20"/>
          <w:szCs w:val="20"/>
          <w:color w:val="auto"/>
        </w:rPr>
      </w:pPr>
    </w:p>
    <w:p>
      <w:pPr>
        <w:ind w:right="880" w:firstLine="480"/>
        <w:spacing w:after="0" w:line="268" w:lineRule="auto"/>
        <w:rPr>
          <w:sz w:val="20"/>
          <w:szCs w:val="20"/>
          <w:color w:val="auto"/>
        </w:rPr>
      </w:pPr>
      <w:r>
        <w:rPr>
          <w:rFonts w:ascii="Times New Roman" w:cs="Times New Roman" w:eastAsia="Times New Roman" w:hAnsi="Times New Roman"/>
          <w:sz w:val="19"/>
          <w:szCs w:val="19"/>
          <w:color w:val="auto"/>
        </w:rPr>
        <w:t>As of March 25, 2026, $93.5 million remains allocated and available under the ATM Prospectus and approximately $170.0 million remains available and unallocated under the Shelf Registration Statement.</w:t>
      </w:r>
    </w:p>
    <w:p>
      <w:pPr>
        <w:spacing w:after="0" w:line="152" w:lineRule="exact"/>
        <w:rPr>
          <w:sz w:val="20"/>
          <w:szCs w:val="20"/>
          <w:color w:val="auto"/>
        </w:rPr>
      </w:pPr>
    </w:p>
    <w:p>
      <w:pPr>
        <w:ind w:right="220" w:firstLine="480"/>
        <w:spacing w:after="0" w:line="248" w:lineRule="auto"/>
        <w:rPr>
          <w:sz w:val="20"/>
          <w:szCs w:val="20"/>
          <w:color w:val="auto"/>
        </w:rPr>
      </w:pPr>
      <w:r>
        <w:rPr>
          <w:rFonts w:ascii="Times New Roman" w:cs="Times New Roman" w:eastAsia="Times New Roman" w:hAnsi="Times New Roman"/>
          <w:sz w:val="20"/>
          <w:szCs w:val="20"/>
          <w:color w:val="auto"/>
        </w:rPr>
        <w:t>If we raise additional capital by issuing equity securities, the percentage ownership of our existing stockholders may be reduced, and accordingly these stockholders may experience substantial dilution. We may also issue equity securities that provide for rights, preferences and privileges senior to those of our common stock. Given our need for cash and that equity issuances are the most common type of fundraising for similarly situated companies, the risk of dilution is particularly significant for our stockholders.</w:t>
      </w:r>
    </w:p>
    <w:p>
      <w:pPr>
        <w:spacing w:after="0" w:line="172" w:lineRule="exact"/>
        <w:rPr>
          <w:sz w:val="20"/>
          <w:szCs w:val="20"/>
          <w:color w:val="auto"/>
        </w:rPr>
      </w:pPr>
    </w:p>
    <w:p>
      <w:pPr>
        <w:ind w:right="120" w:firstLine="480"/>
        <w:spacing w:after="0" w:line="264" w:lineRule="auto"/>
        <w:rPr>
          <w:sz w:val="20"/>
          <w:szCs w:val="20"/>
          <w:color w:val="auto"/>
        </w:rPr>
      </w:pPr>
      <w:r>
        <w:rPr>
          <w:rFonts w:ascii="Times New Roman" w:cs="Times New Roman" w:eastAsia="Times New Roman" w:hAnsi="Times New Roman"/>
          <w:sz w:val="19"/>
          <w:szCs w:val="19"/>
          <w:color w:val="auto"/>
        </w:rPr>
        <w:t>Any additional fundraising efforts may divert our management from our day-to-day activities, which may adversely affect our ability to develop and commercialize product candidates. 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product candidates or other research and development initiatives. Our license agreements and any future collaboration agreements may also be terminated if we are unable to meet the payment or other obligations under the agreements. We could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941" w:right="1440" w:bottom="348" w:gutter="0" w:footer="0" w:header="0"/>
          <w:type w:val="continuous"/>
        </w:sectPr>
      </w:pPr>
    </w:p>
    <w:bookmarkStart w:id="35" w:name="page36"/>
    <w:bookmarkEnd w:id="35"/>
    <w:p>
      <w:pPr>
        <w:ind w:right="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As a result of our history of losses and negative cash flows from operations, our management has performed an analysis and concluded that substantial doubt exists about our ability to continue as a going concern, and we will need to raise additional financing to continue our products’ development.</w:t>
      </w:r>
    </w:p>
    <w:p>
      <w:pPr>
        <w:spacing w:after="0" w:line="173"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Our history of operating losses and negative cash flows from operations combined with our anticipated use of cash to fund operations raises substantial doubt about our ability to continue as a going concern beyond one year from the date of filing of this Annual Report on Form 10-K. Our financial statements as of December 31, 2025 do not include any adjustments that might result from the outcome of this uncertainty. Based on our current operating plan, we will need to raise additional financing to continue our products’ development for the foreseeable future, and until we become profitable. Our future viability as an ongoing business is dependent on our ability to generate cash from our operating activities or to raise additional capital to finance our operations. We expect to finance our future cash needs through equity or debt financings, collaborations or a combination of these approaches. The sale of equity or convertible debt securities may result in dilution to our stockholders, and, in the case of preferred equity securities or convertible debt, those securities could provide for rights, preferences or privileges senior to those</w:t>
      </w:r>
    </w:p>
    <w:p>
      <w:pPr>
        <w:spacing w:after="0" w:line="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of our common stock. Debt financings may subject us to covenant limitations or restrictions on our ability to take specific actions, such as incurring additional debt or making capital expenditures. Our ability to raise additional funds may be adversely impacted by negative global economic conditions and any disruptions to and volatility in the credit and financial markets in the United States and worldwide or other factors.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p>
    <w:p>
      <w:pPr>
        <w:spacing w:after="0" w:line="171" w:lineRule="exact"/>
        <w:rPr>
          <w:sz w:val="20"/>
          <w:szCs w:val="20"/>
          <w:color w:val="auto"/>
        </w:rPr>
      </w:pPr>
    </w:p>
    <w:p>
      <w:pPr>
        <w:ind w:right="160" w:firstLine="480"/>
        <w:spacing w:after="0" w:line="264" w:lineRule="auto"/>
        <w:rPr>
          <w:sz w:val="20"/>
          <w:szCs w:val="20"/>
          <w:color w:val="auto"/>
        </w:rPr>
      </w:pPr>
      <w:r>
        <w:rPr>
          <w:rFonts w:ascii="Times New Roman" w:cs="Times New Roman" w:eastAsia="Times New Roman" w:hAnsi="Times New Roman"/>
          <w:sz w:val="19"/>
          <w:szCs w:val="19"/>
          <w:color w:val="auto"/>
        </w:rPr>
        <w:t>The perception that we might be unable to continue as a going concern may also make it more difficult to obtain financing for the continuation of our operations on terms that are favorable to us, or at all, and could result in the loss of confidence by investors and employees. Our consolidated financial statements do not include any adjustments that might result from the outcome of this uncertainty. If we are unable to continue as a going concern, we may have to liquidate our assets and may receive less than the value at which those assets are carried on our consolidated financial statements, and it is likely that our investors will lose all or a part of their investment.</w:t>
      </w:r>
    </w:p>
    <w:p>
      <w:pPr>
        <w:spacing w:after="0" w:line="24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b w:val="1"/>
          <w:bCs w:val="1"/>
          <w:i w:val="1"/>
          <w:iCs w:val="1"/>
          <w:color w:val="auto"/>
        </w:rPr>
        <w:t>We may not realize the expected benefits from our corporate reorganization and workforce reduction and we may incur additional costs implementing it or other difficulties or unexpected consequences.</w:t>
      </w:r>
    </w:p>
    <w:p>
      <w:pPr>
        <w:spacing w:after="0" w:line="17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On July 8, 2025, we implemented a corporate reorganization to extend our cash runway, including a workforce reduction of approximately 50% of our employees at that time. In connection with this corporate reorganization, we refined our operating plan to focus on our briquilimab clinical development programs in chronic urticaria and halted enrollment in our Phase 1b asthma study and halted our other clinical and preclinical programs. These changes to our business strategy and the reduction in workforce may yield unintended consequences and costs, such as the loss of institutional knowledge and expertise, attrition beyond our intended workforce reduction, a reduction in morale among our remaining employees, and the risk that the reorganization may not achieve the anticipated benefits, all of which may have an adverse effect on our development activities, ability to progress our product candidate development, and results of operations or financial condition. The total cost related to the workforce reduction is estimated to be approximately $2.3 million, all of which is cash-based expenditure related primarily to severance payments. We recognized substantially all the charges related to</w:t>
      </w:r>
    </w:p>
    <w:p>
      <w:pPr>
        <w:spacing w:after="0" w:line="15" w:lineRule="exact"/>
        <w:rPr>
          <w:sz w:val="20"/>
          <w:szCs w:val="20"/>
          <w:color w:val="auto"/>
        </w:rPr>
      </w:pPr>
    </w:p>
    <w:p>
      <w:pPr>
        <w:ind w:right="700"/>
        <w:spacing w:after="0" w:line="243" w:lineRule="auto"/>
        <w:rPr>
          <w:sz w:val="20"/>
          <w:szCs w:val="20"/>
          <w:color w:val="auto"/>
        </w:rPr>
      </w:pPr>
      <w:r>
        <w:rPr>
          <w:rFonts w:ascii="Times New Roman" w:cs="Times New Roman" w:eastAsia="Times New Roman" w:hAnsi="Times New Roman"/>
          <w:sz w:val="20"/>
          <w:szCs w:val="20"/>
          <w:color w:val="auto"/>
        </w:rPr>
        <w:t>the workforce reduction in the year ended December 31, 2025. These estimates are subject to a number of assumptions and actual results may differ.</w:t>
      </w:r>
    </w:p>
    <w:p>
      <w:pPr>
        <w:spacing w:after="0" w:line="174" w:lineRule="exact"/>
        <w:rPr>
          <w:sz w:val="20"/>
          <w:szCs w:val="20"/>
          <w:color w:val="auto"/>
        </w:rPr>
      </w:pPr>
    </w:p>
    <w:p>
      <w:pPr>
        <w:ind w:right="20" w:firstLine="480"/>
        <w:spacing w:after="0" w:line="248" w:lineRule="auto"/>
        <w:rPr>
          <w:sz w:val="20"/>
          <w:szCs w:val="20"/>
          <w:color w:val="auto"/>
        </w:rPr>
      </w:pPr>
      <w:r>
        <w:rPr>
          <w:rFonts w:ascii="Times New Roman" w:cs="Times New Roman" w:eastAsia="Times New Roman" w:hAnsi="Times New Roman"/>
          <w:sz w:val="20"/>
          <w:szCs w:val="20"/>
          <w:color w:val="auto"/>
        </w:rPr>
        <w:t>In December 2025, our board of directors approved a plan to cease operations of our vivarium and to terminate three of the four remaining research personnel associated with those operations. We determined that certain fixed assets and our right of use asset related to our vivarium space were abandoned. Accordingly, we recognized an impairment loss of $1.1 million.</w:t>
      </w:r>
    </w:p>
    <w:p>
      <w:pPr>
        <w:spacing w:after="0" w:line="169" w:lineRule="exact"/>
        <w:rPr>
          <w:sz w:val="20"/>
          <w:szCs w:val="20"/>
          <w:color w:val="auto"/>
        </w:rPr>
      </w:pPr>
    </w:p>
    <w:p>
      <w:pPr>
        <w:ind w:right="260" w:firstLine="480"/>
        <w:spacing w:after="0" w:line="265" w:lineRule="auto"/>
        <w:rPr>
          <w:sz w:val="20"/>
          <w:szCs w:val="20"/>
          <w:color w:val="auto"/>
        </w:rPr>
      </w:pPr>
      <w:r>
        <w:rPr>
          <w:rFonts w:ascii="Times New Roman" w:cs="Times New Roman" w:eastAsia="Times New Roman" w:hAnsi="Times New Roman"/>
          <w:sz w:val="19"/>
          <w:szCs w:val="19"/>
          <w:color w:val="auto"/>
        </w:rPr>
        <w:t>In addition, we may incur additional costs not currently contemplated due to events that may occur as a result of, or that are associated with, the corporate reorganization and workforce reduction. For example, we may be unsuccessful in distributing the duties and obligations of departed employees among our remaining employees. Reductions in our workforce could also make it difficult for us to pursue, or prevent us from pursuing, new</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951" w:right="1440" w:bottom="348" w:gutter="0" w:footer="0" w:header="0"/>
          <w:type w:val="continuous"/>
        </w:sectPr>
      </w:pPr>
    </w:p>
    <w:bookmarkStart w:id="36" w:name="page37"/>
    <w:bookmarkEnd w:id="36"/>
    <w:p>
      <w:pPr>
        <w:ind w:right="20"/>
        <w:spacing w:after="0" w:line="249" w:lineRule="auto"/>
        <w:rPr>
          <w:sz w:val="20"/>
          <w:szCs w:val="20"/>
          <w:color w:val="auto"/>
        </w:rPr>
      </w:pPr>
      <w:r>
        <w:rPr>
          <w:rFonts w:ascii="Times New Roman" w:cs="Times New Roman" w:eastAsia="Times New Roman" w:hAnsi="Times New Roman"/>
          <w:sz w:val="20"/>
          <w:szCs w:val="20"/>
          <w:color w:val="auto"/>
        </w:rPr>
        <w:t>opportunities and initiatives due to insufficient personnel, or require us to incur additional and unanticipated costs to hire new personnel to pursue such opportunities or initiatives. If we are unable to realize the anticipated benefits from the reductions in force, or if we experience significant adverse consequences from the reductions in force, our business, financial condition, and results of operations may be materially adversely affected. Furthermore, we may undertake further similar cost-saving initiatives in the future, which may include additional restructuring or workforce reductions. These types of cost-reduction activities can be complex and result in unintended consequences and costs, which could adversely impact our business.</w:t>
      </w:r>
    </w:p>
    <w:p>
      <w:pPr>
        <w:spacing w:after="0" w:line="252"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b w:val="1"/>
          <w:bCs w:val="1"/>
          <w:i w:val="1"/>
          <w:iCs w:val="1"/>
          <w:color w:val="auto"/>
        </w:rPr>
        <w:t>We have no history of commercializing pharmaceutical products, which may make it difficult to evaluate the prospects for our future viability.</w:t>
      </w:r>
    </w:p>
    <w:p>
      <w:pPr>
        <w:spacing w:after="0" w:line="177"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9"/>
          <w:szCs w:val="19"/>
          <w:color w:val="auto"/>
        </w:rPr>
        <w:t>We are a clinical stage company. We were founded and commenced operations in March 2018. Our operations to date have been limited to organizing and staffing our company, business planning, raising capital, acquiring and developing our technology, identifying potential product candidates and undertaking preclinical studies and clinical trials. Although we have initiated clinical trials for briquilimab, we have not yet demonstrated an ability</w:t>
      </w:r>
    </w:p>
    <w:p>
      <w:pPr>
        <w:spacing w:after="0" w:line="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to successfully complete clinical trials of our product candidates; obtained marketing approvals; manufactured a commercial-scale medicine or therapy, or arranged for a third party to do so on our behalf; or conducted sales and marketing activities necessary for successful commercialization. Typically, it takes about 10 to 15 years to develop a new medicine from the time it is discovered to when it is available for treating patients. Consequently, any predictions we make about our future success or viability may not be as accurate as they could be if we had a longer operating history.</w:t>
      </w:r>
    </w:p>
    <w:p>
      <w:pPr>
        <w:spacing w:after="0" w:line="168" w:lineRule="exact"/>
        <w:rPr>
          <w:sz w:val="20"/>
          <w:szCs w:val="20"/>
          <w:color w:val="auto"/>
        </w:rPr>
      </w:pPr>
    </w:p>
    <w:p>
      <w:pPr>
        <w:ind w:right="240" w:firstLine="480"/>
        <w:spacing w:after="0" w:line="263" w:lineRule="auto"/>
        <w:rPr>
          <w:sz w:val="20"/>
          <w:szCs w:val="20"/>
          <w:color w:val="auto"/>
        </w:rPr>
      </w:pPr>
      <w:r>
        <w:rPr>
          <w:rFonts w:ascii="Times New Roman" w:cs="Times New Roman" w:eastAsia="Times New Roman" w:hAnsi="Times New Roman"/>
          <w:sz w:val="19"/>
          <w:szCs w:val="19"/>
          <w:color w:val="auto"/>
        </w:rPr>
        <w:t>In addition, as a clinical stage company, we may encounter unforeseen expenses, difficulties, complications, delays and other known and unknown factors. We will need to transition at some point from a company with</w:t>
      </w:r>
    </w:p>
    <w:p>
      <w:pPr>
        <w:spacing w:after="0" w:line="1" w:lineRule="exact"/>
        <w:rPr>
          <w:sz w:val="20"/>
          <w:szCs w:val="20"/>
          <w:color w:val="auto"/>
        </w:rPr>
      </w:pPr>
    </w:p>
    <w:p>
      <w:pPr>
        <w:ind w:right="700"/>
        <w:spacing w:after="0" w:line="243" w:lineRule="auto"/>
        <w:rPr>
          <w:sz w:val="20"/>
          <w:szCs w:val="20"/>
          <w:color w:val="auto"/>
        </w:rPr>
      </w:pPr>
      <w:r>
        <w:rPr>
          <w:rFonts w:ascii="Times New Roman" w:cs="Times New Roman" w:eastAsia="Times New Roman" w:hAnsi="Times New Roman"/>
          <w:sz w:val="20"/>
          <w:szCs w:val="20"/>
          <w:color w:val="auto"/>
        </w:rPr>
        <w:t>a research and development focus to a company capable of supporting commercial activities. We may not be successful in such a transition.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never generated revenue from product sales and may never be profitable.</w:t>
      </w:r>
    </w:p>
    <w:p>
      <w:pPr>
        <w:spacing w:after="0" w:line="177"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Our ability to generate revenue from product sales and achieve profitability depends on our ability, alone or with collaborators, to successfully complete the development of, and obtain the regulatory approvals necessary to commercialize, product candidates. We do not anticipate generating revenues from product sales for the next several years, if ever. Our ability to generate future revenue from product sales depends heavily on our, or our future collaborators’, ability to successfully:</w:t>
      </w:r>
    </w:p>
    <w:p>
      <w:pPr>
        <w:spacing w:after="0" w:line="172" w:lineRule="exact"/>
        <w:rPr>
          <w:sz w:val="20"/>
          <w:szCs w:val="20"/>
          <w:color w:val="auto"/>
        </w:rPr>
      </w:pPr>
    </w:p>
    <w:p>
      <w:pPr>
        <w:ind w:left="960" w:right="540" w:hanging="480"/>
        <w:spacing w:after="0" w:line="243" w:lineRule="auto"/>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product candidates and complete research and preclinical and clinical development of any product candidates we may identify;</w:t>
      </w:r>
    </w:p>
    <w:p>
      <w:pPr>
        <w:spacing w:after="0" w:line="174" w:lineRule="exact"/>
        <w:rPr>
          <w:rFonts w:ascii="Times New Roman" w:cs="Times New Roman" w:eastAsia="Times New Roman" w:hAnsi="Times New Roman"/>
          <w:sz w:val="20"/>
          <w:szCs w:val="20"/>
          <w:color w:val="auto"/>
        </w:rPr>
      </w:pPr>
    </w:p>
    <w:p>
      <w:pPr>
        <w:ind w:left="960" w:right="220" w:hanging="480"/>
        <w:spacing w:after="0" w:line="243" w:lineRule="auto"/>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and obtain regulatory and marketing approvals for any product candidates for which we complete clinical trials;</w:t>
      </w:r>
    </w:p>
    <w:p>
      <w:pPr>
        <w:spacing w:after="0" w:line="174" w:lineRule="exact"/>
        <w:rPr>
          <w:rFonts w:ascii="Times New Roman" w:cs="Times New Roman" w:eastAsia="Times New Roman" w:hAnsi="Times New Roman"/>
          <w:sz w:val="20"/>
          <w:szCs w:val="20"/>
          <w:color w:val="auto"/>
        </w:rPr>
      </w:pPr>
    </w:p>
    <w:p>
      <w:pPr>
        <w:jc w:val="both"/>
        <w:ind w:left="960" w:right="700" w:hanging="480"/>
        <w:spacing w:after="0" w:line="246" w:lineRule="auto"/>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 and commercialize any product candidates for which we obtain regulatory and marketing approval by establishing a sales force, marketing and distribution infrastructure or, alternatively, collaborating with a commercialization partner;</w:t>
      </w:r>
    </w:p>
    <w:p>
      <w:pPr>
        <w:spacing w:after="0" w:line="172" w:lineRule="exact"/>
        <w:rPr>
          <w:rFonts w:ascii="Times New Roman" w:cs="Times New Roman" w:eastAsia="Times New Roman" w:hAnsi="Times New Roman"/>
          <w:sz w:val="20"/>
          <w:szCs w:val="20"/>
          <w:color w:val="auto"/>
        </w:rPr>
      </w:pPr>
    </w:p>
    <w:p>
      <w:pPr>
        <w:ind w:left="960" w:right="100" w:hanging="480"/>
        <w:spacing w:after="0" w:line="243" w:lineRule="auto"/>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qualify for coverage and adequate reimbursement by government and third-party payors for any product candidates for which we obtain regulatory and marketing approval;</w:t>
      </w:r>
    </w:p>
    <w:p>
      <w:pPr>
        <w:spacing w:after="0" w:line="174" w:lineRule="exact"/>
        <w:rPr>
          <w:rFonts w:ascii="Times New Roman" w:cs="Times New Roman" w:eastAsia="Times New Roman" w:hAnsi="Times New Roman"/>
          <w:sz w:val="20"/>
          <w:szCs w:val="20"/>
          <w:color w:val="auto"/>
        </w:rPr>
      </w:pPr>
    </w:p>
    <w:p>
      <w:pPr>
        <w:ind w:left="960" w:right="360" w:hanging="480"/>
        <w:spacing w:after="0" w:line="243" w:lineRule="auto"/>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 maintain, and enhance a sustainable, scalable, reproducible, and transferable manufacturing process for the product candidates we may develop;</w:t>
      </w:r>
    </w:p>
    <w:p>
      <w:pPr>
        <w:spacing w:after="0" w:line="174" w:lineRule="exact"/>
        <w:rPr>
          <w:rFonts w:ascii="Times New Roman" w:cs="Times New Roman" w:eastAsia="Times New Roman" w:hAnsi="Times New Roman"/>
          <w:sz w:val="20"/>
          <w:szCs w:val="20"/>
          <w:color w:val="auto"/>
        </w:rPr>
      </w:pPr>
    </w:p>
    <w:p>
      <w:pPr>
        <w:ind w:left="960" w:right="420" w:hanging="480"/>
        <w:spacing w:after="0" w:line="266" w:lineRule="auto"/>
        <w:tabs>
          <w:tab w:leader="none" w:pos="9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w:t>
      </w:r>
    </w:p>
    <w:p>
      <w:pPr>
        <w:spacing w:after="0" w:line="146"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market acceptance of product candidates as viable treatment options;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competing technological and market developments;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948" w:right="1440" w:bottom="348" w:gutter="0" w:footer="0" w:header="0"/>
          <w:type w:val="continuous"/>
        </w:sectPr>
      </w:pPr>
    </w:p>
    <w:bookmarkStart w:id="37" w:name="page38"/>
    <w:bookmarkEnd w:id="37"/>
    <w:p>
      <w:pPr>
        <w:ind w:left="960" w:hanging="480"/>
        <w:spacing w:after="0"/>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internal systems and infrastructure, as needed;</w:t>
      </w:r>
    </w:p>
    <w:p>
      <w:pPr>
        <w:spacing w:after="0" w:line="176" w:lineRule="exact"/>
        <w:rPr>
          <w:rFonts w:ascii="Times New Roman" w:cs="Times New Roman" w:eastAsia="Times New Roman" w:hAnsi="Times New Roman"/>
          <w:sz w:val="20"/>
          <w:szCs w:val="20"/>
          <w:color w:val="auto"/>
        </w:rPr>
      </w:pPr>
    </w:p>
    <w:p>
      <w:pPr>
        <w:ind w:left="960" w:right="40" w:hanging="480"/>
        <w:spacing w:after="0" w:line="243"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negotiate favorable terms in any collaboration, licensing or other arrangements into which we may enter, and perform our obligations in such arrangements;</w:t>
      </w:r>
    </w:p>
    <w:p>
      <w:pPr>
        <w:spacing w:after="0" w:line="174" w:lineRule="exact"/>
        <w:rPr>
          <w:rFonts w:ascii="Times New Roman" w:cs="Times New Roman" w:eastAsia="Times New Roman" w:hAnsi="Times New Roman"/>
          <w:sz w:val="20"/>
          <w:szCs w:val="20"/>
          <w:color w:val="auto"/>
        </w:rPr>
      </w:pPr>
    </w:p>
    <w:p>
      <w:pPr>
        <w:ind w:left="960" w:right="420" w:hanging="480"/>
        <w:spacing w:after="0" w:line="243"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protect, enforce, defend and expand our portfolio of intellectual property rights, including patents, trade secrets and know-how, in the United States and internationally;</w:t>
      </w:r>
    </w:p>
    <w:p>
      <w:pPr>
        <w:spacing w:after="0" w:line="174" w:lineRule="exact"/>
        <w:rPr>
          <w:rFonts w:ascii="Times New Roman" w:cs="Times New Roman" w:eastAsia="Times New Roman" w:hAnsi="Times New Roman"/>
          <w:sz w:val="20"/>
          <w:szCs w:val="20"/>
          <w:color w:val="auto"/>
        </w:rPr>
      </w:pPr>
    </w:p>
    <w:p>
      <w:pPr>
        <w:ind w:left="960" w:right="120" w:hanging="480"/>
        <w:spacing w:after="0" w:line="243" w:lineRule="auto"/>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 and defend against third-party interference, infringement and other intellectual property claims in the United States and internationally;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hire and retain qualified personnel.</w:t>
      </w:r>
    </w:p>
    <w:p>
      <w:pPr>
        <w:spacing w:after="0" w:line="177" w:lineRule="exact"/>
        <w:rPr>
          <w:sz w:val="20"/>
          <w:szCs w:val="20"/>
          <w:color w:val="auto"/>
        </w:rPr>
      </w:pPr>
    </w:p>
    <w:p>
      <w:pPr>
        <w:jc w:val="both"/>
        <w:ind w:right="320" w:firstLine="480"/>
        <w:spacing w:after="0" w:line="248" w:lineRule="auto"/>
        <w:rPr>
          <w:sz w:val="20"/>
          <w:szCs w:val="20"/>
          <w:color w:val="auto"/>
        </w:rPr>
      </w:pPr>
      <w:r>
        <w:rPr>
          <w:rFonts w:ascii="Times New Roman" w:cs="Times New Roman" w:eastAsia="Times New Roman" w:hAnsi="Times New Roman"/>
          <w:sz w:val="20"/>
          <w:szCs w:val="20"/>
          <w:color w:val="auto"/>
        </w:rPr>
        <w:t>Even if one or more of the product candidates we develop are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w:t>
      </w:r>
    </w:p>
    <w:p>
      <w:pPr>
        <w:spacing w:after="0" w:line="169" w:lineRule="exact"/>
        <w:rPr>
          <w:sz w:val="20"/>
          <w:szCs w:val="20"/>
          <w:color w:val="auto"/>
        </w:rPr>
      </w:pPr>
    </w:p>
    <w:p>
      <w:pPr>
        <w:ind w:right="260" w:firstLine="480"/>
        <w:spacing w:after="0" w:line="248" w:lineRule="auto"/>
        <w:rPr>
          <w:sz w:val="20"/>
          <w:szCs w:val="20"/>
          <w:color w:val="auto"/>
        </w:rPr>
      </w:pPr>
      <w:r>
        <w:rPr>
          <w:rFonts w:ascii="Times New Roman" w:cs="Times New Roman" w:eastAsia="Times New Roman" w:hAnsi="Times New Roman"/>
          <w:sz w:val="20"/>
          <w:szCs w:val="20"/>
          <w:color w:val="auto"/>
        </w:rPr>
        <w:t>Many of the factors listed above are beyond our control, and could cause us to experience significant delays or prevent us from completing the development of our product candidates, obtaining regulatory approvals or commercializing our product candidates. Even if we do achieve profitability, we may not be able to sustain or increase profitability on a quarterly or annual basis. A failure to become or remain profitable could result in a decline in the value of our company and could also cause you to lose all or part of your investment.</w:t>
      </w:r>
    </w:p>
    <w:p>
      <w:pPr>
        <w:spacing w:after="0" w:line="25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to offset taxable income or taxes may be limited.</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we had net operating loss carryforwards for federal income tax purposes</w:t>
      </w:r>
    </w:p>
    <w:p>
      <w:pPr>
        <w:spacing w:after="0" w:line="1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of $210.4 million that can be carried forward indefinitely. As of December 31, 2025, we had net operating loss carryforwards for state income tax purposes of $64.9 million that begin to expire in 2038. Portions of these net operating loss carryforwards could expire unused and be unavailable to offset future income tax liabilities. Under the legislation enacted in 2017, informally titled the Tax Cuts and Jobs Act (the “Tax Act”), as modified by the Coronavirus Aid, Relief, and Economic Security Act (the “CARES Act”), U.S. federal net operating losses incurred in taxable years beginning after December 31, 2017 may be carried forward indefinitely, but the deductibility of such federal net operating losses in taxable years beginning after December 31, 2020 is limited. It is uncertain how various states will respond to the Tax Act and the CARES Act. For state income tax purposes, there may be periods during which the use of net operating loss carryforwards is suspended or otherwise limited, which could accelerate or permanently increase state taxes owed.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Our existing net operating loss carryforwards may be subject to limitations arising out of previous ownership changes and we may be limited as to the amount that can be utilized each year as a result of such previous ownership changes, including the Business Combination and related transactions. In addition, future changes in our stock ownership, including future offerings, as well as other changes that may be outside of our control, could result in additional ownership changes. We have completed a Section 382 analysis covering taxable periods from its inception through the year ended December 31, 2021. We experienced an ownership change on November 21, 2019 for both federal and California tax purposes related to</w:t>
      </w:r>
    </w:p>
    <w:p>
      <w:pPr>
        <w:spacing w:after="0" w:line="12"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its Series A redeemable convertible preferred stock financing. Any net operating loss generated for taxable periods in 2018 and through November 21, 2019 in excess of $2.87 million will be permanently limited for California tax purposes. We reduced our California net operating loss deferred tax assets balance by the permanently limited amount of $0.6 million as of December 31, 2021. There would be no permanent loss of federal net operating loss based on the limits. We experienced an additional ownership change on September 24, 2021; however, we do not expect there are additional tax attributes that will expire unused before the expiration periods. There is a full valuation allowance for net deferred tax assets, including net operating loss carryforwards for the year ended December 31, 2025.</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941" w:right="1440" w:bottom="348" w:gutter="0" w:footer="0" w:header="0"/>
          <w:type w:val="continuous"/>
        </w:sectPr>
      </w:pPr>
    </w:p>
    <w:bookmarkStart w:id="38" w:name="page39"/>
    <w:bookmarkEnd w:id="38"/>
    <w:p>
      <w:pPr>
        <w:ind w:right="400"/>
        <w:spacing w:after="0"/>
        <w:rPr>
          <w:sz w:val="20"/>
          <w:szCs w:val="20"/>
          <w:color w:val="auto"/>
        </w:rPr>
      </w:pPr>
      <w:r>
        <w:rPr>
          <w:rFonts w:ascii="Times New Roman" w:cs="Times New Roman" w:eastAsia="Times New Roman" w:hAnsi="Times New Roman"/>
          <w:sz w:val="20"/>
          <w:szCs w:val="20"/>
          <w:b w:val="1"/>
          <w:bCs w:val="1"/>
          <w:i w:val="1"/>
          <w:iCs w:val="1"/>
          <w:color w:val="auto"/>
        </w:rPr>
        <w:t>Business disruptions caused by natural or man-made disasters, acts of war or other hostilities could seriously harm our future revenues and financial condition and increase our costs and expenses generally.</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Our corporate headquarters are located in the San Francisco Bay Area, a region known for seismic activity. Our suppliers may also experience a disruption in their business as a result of natural or man-made disasters. A significant natural or man-made disaster, such as an earthquake, prolonged or repeated power outage, hurricane, flood, fire, drought or other extreme weather events and changing weather patterns, which are increasing in frequency due to the impacts of climate change, could severely damage or destroy our headquarters or facilities or the facilities of our manufacturers or suppliers, which could have a material and adverse effect on our business, financial condition and results of operations. In addition, terrorist acts, acts of war or the outbreak of hostilities against the U.S. or other countries globally, could cause damage or disruption to us, our employees, facilities, partners and suppliers, which could have a material adverse effect on our business, financial condition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and future changes to tax laws could materially adversely affect our company.</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For example, the Tax Cuts and JOBS Act, the Coronavirus Aid, Relief, and Economic Security Act, and the Inflation Reduction Act, or the IRA, enacted many significant changes to the U.S. tax laws. Future guidance from the Internal Revenue Service and other tax authorities with respect to such legislation may affect us, and certain aspects thereof could be repealed or modified in future legislation. For example, the IRA includes provisions that impact the U.S. federal income taxation of certain corporations, including imposing a 15% minimum tax on the book income of certain large corporations and a 1% excise tax on certain corporate stock repurchases that would be imposed on the corporation repurchasing such stock. Additionally, 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on July 4, 2025, new legislation was enacted in the United States which includes significant provisions, including, but not limited to, modifications of capitalization of research and development expenses and accelerated fixed asset depreciation. We have evaluated the impact of the new legislation</w:t>
      </w:r>
    </w:p>
    <w:p>
      <w:pPr>
        <w:spacing w:after="0" w:line="22"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and determined that it does not have a material impact on our consolidated financial statements. It is also uncertain if and to what extent various states will conform to federal tax laws. In addition, many countries in Europe, as well as a number of other countries and organizations (including the Organization for Economic Cooperation and Development and the European Commission), have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 Future tax reform legislation could have a material impact on the value of our deferred tax assets, could result in significant one-time charges, and could increase our future tax expense.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Discovery, Development, Manufacturing and Commercialization</w:t>
      </w:r>
    </w:p>
    <w:p>
      <w:pPr>
        <w:spacing w:after="0" w:line="259" w:lineRule="exact"/>
        <w:rPr>
          <w:sz w:val="20"/>
          <w:szCs w:val="20"/>
          <w:color w:val="auto"/>
        </w:rPr>
      </w:pPr>
    </w:p>
    <w:p>
      <w:pPr>
        <w:jc w:val="both"/>
        <w:ind w:right="3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are substantially dependent on the success of our most advanced product candidate, briquilimab. If we are unable to complete development of, obtain approval for and commercialize our product candidates, including briquilimab, in a timely manner or at all, our business will be harmed.</w:t>
      </w:r>
    </w:p>
    <w:p>
      <w:pPr>
        <w:spacing w:after="0" w:line="173"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Our future success is dependent on our ability to timely advance and complete clinical trials, obtain marketing approval for and successfully commercialize our product candidates. We are not permitted to market or promote briquilimab or any other product candidate before we receive marketing approval from the FDA and comparable foreign regulatory authorities, and we may never receive such marketing approvals.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951" w:right="1440" w:bottom="348" w:gutter="0" w:footer="0" w:header="0"/>
          <w:type w:val="continuous"/>
        </w:sectPr>
      </w:pPr>
    </w:p>
    <w:bookmarkStart w:id="39" w:name="page40"/>
    <w:bookmarkEnd w:id="39"/>
    <w:p>
      <w:pPr>
        <w:ind w:left="480"/>
        <w:spacing w:after="0"/>
        <w:rPr>
          <w:sz w:val="20"/>
          <w:szCs w:val="20"/>
          <w:color w:val="auto"/>
        </w:rPr>
      </w:pPr>
      <w:r>
        <w:rPr>
          <w:rFonts w:ascii="Times New Roman" w:cs="Times New Roman" w:eastAsia="Times New Roman" w:hAnsi="Times New Roman"/>
          <w:sz w:val="20"/>
          <w:szCs w:val="20"/>
          <w:color w:val="auto"/>
        </w:rPr>
        <w:t>The success of our product candidates will depend on several factors, including the following:</w:t>
      </w:r>
    </w:p>
    <w:p>
      <w:pPr>
        <w:spacing w:after="0" w:line="177" w:lineRule="exact"/>
        <w:rPr>
          <w:sz w:val="20"/>
          <w:szCs w:val="20"/>
          <w:color w:val="auto"/>
        </w:rPr>
      </w:pPr>
    </w:p>
    <w:p>
      <w:pPr>
        <w:ind w:left="960" w:right="100" w:hanging="480"/>
        <w:spacing w:after="0" w:line="248"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acceptance of individual institutional review boards (“IRBs”) and scientific review committees at each clinical trial site as to the adequacy of the preclinical data package to support clinical development of briquilimab and their overall general agreement with the use of briquilimab in the intended patient population in the intended manner;</w:t>
      </w:r>
    </w:p>
    <w:p>
      <w:pPr>
        <w:spacing w:after="0" w:line="169"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initiation and successful patient enrollment and completion of additional clinical trials of briquilimab in CSU, CIndU, and asthma on a timely basis;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frequency and severity of adverse events in the clinical trials;</w:t>
      </w:r>
    </w:p>
    <w:p>
      <w:pPr>
        <w:spacing w:after="0" w:line="176" w:lineRule="exact"/>
        <w:rPr>
          <w:rFonts w:ascii="Times New Roman" w:cs="Times New Roman" w:eastAsia="Times New Roman" w:hAnsi="Times New Roman"/>
          <w:sz w:val="20"/>
          <w:szCs w:val="20"/>
          <w:color w:val="auto"/>
        </w:rPr>
      </w:pPr>
    </w:p>
    <w:p>
      <w:pPr>
        <w:ind w:left="960" w:right="300" w:hanging="480"/>
        <w:spacing w:after="0" w:line="246"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successful and timely completion of our ongoing Phase 1b/2a clinical trial of subcutaneous briquilimab for the treatment of CIndU, planned Phase 2b/3 trial of briquilimab in patients with CSU, and the Phase 1b clinical trial of briquilimab in allergic asthma;</w:t>
      </w:r>
    </w:p>
    <w:p>
      <w:pPr>
        <w:spacing w:after="0" w:line="172" w:lineRule="exact"/>
        <w:rPr>
          <w:rFonts w:ascii="Times New Roman" w:cs="Times New Roman" w:eastAsia="Times New Roman" w:hAnsi="Times New Roman"/>
          <w:sz w:val="20"/>
          <w:szCs w:val="20"/>
          <w:color w:val="auto"/>
        </w:rPr>
      </w:pPr>
    </w:p>
    <w:p>
      <w:pPr>
        <w:ind w:left="960" w:right="280" w:hanging="480"/>
        <w:spacing w:after="0" w:line="268" w:lineRule="auto"/>
        <w:tabs>
          <w:tab w:leader="none" w:pos="9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maintaining and establishing relationships with contract research organizations (“CROs”) and clinical sites for the clinical development of briquilimab both in the United States and internationally;</w:t>
      </w:r>
    </w:p>
    <w:p>
      <w:pPr>
        <w:spacing w:after="0" w:line="152" w:lineRule="exact"/>
        <w:rPr>
          <w:rFonts w:ascii="Times New Roman" w:cs="Times New Roman" w:eastAsia="Times New Roman" w:hAnsi="Times New Roman"/>
          <w:sz w:val="19"/>
          <w:szCs w:val="19"/>
          <w:color w:val="auto"/>
        </w:rPr>
      </w:pPr>
    </w:p>
    <w:p>
      <w:pPr>
        <w:ind w:left="960" w:right="460" w:hanging="480"/>
        <w:spacing w:after="0" w:line="243"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completion of toxicology studies, biodistribution studies and minimally efficacious dose studies in animals, where applicable;</w:t>
      </w:r>
    </w:p>
    <w:p>
      <w:pPr>
        <w:spacing w:after="0" w:line="174" w:lineRule="exact"/>
        <w:rPr>
          <w:rFonts w:ascii="Times New Roman" w:cs="Times New Roman" w:eastAsia="Times New Roman" w:hAnsi="Times New Roman"/>
          <w:sz w:val="20"/>
          <w:szCs w:val="20"/>
          <w:color w:val="auto"/>
        </w:rPr>
      </w:pPr>
    </w:p>
    <w:p>
      <w:pPr>
        <w:ind w:left="960" w:right="740" w:hanging="480"/>
        <w:spacing w:after="0" w:line="243"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completion of clinical trials and other studies, under the FDA’s current Good Clinical Practices (“GCPs”) and the FDA’s current Good Laboratory Practices;</w:t>
      </w:r>
    </w:p>
    <w:p>
      <w:pPr>
        <w:spacing w:after="0" w:line="174" w:lineRule="exact"/>
        <w:rPr>
          <w:rFonts w:ascii="Times New Roman" w:cs="Times New Roman" w:eastAsia="Times New Roman" w:hAnsi="Times New Roman"/>
          <w:sz w:val="20"/>
          <w:szCs w:val="20"/>
          <w:color w:val="auto"/>
        </w:rPr>
      </w:pPr>
    </w:p>
    <w:p>
      <w:pPr>
        <w:ind w:left="960" w:right="580" w:hanging="480"/>
        <w:spacing w:after="0" w:line="268" w:lineRule="auto"/>
        <w:tabs>
          <w:tab w:leader="none" w:pos="96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investigational new drug (“IND”) applications or Clinical Trial Authorizations that allow commencement of our planned clinical trials or future clinical trials for our product candidates;</w:t>
      </w:r>
    </w:p>
    <w:p>
      <w:pPr>
        <w:spacing w:after="0" w:line="152" w:lineRule="exact"/>
        <w:rPr>
          <w:rFonts w:ascii="Times New Roman" w:cs="Times New Roman" w:eastAsia="Times New Roman" w:hAnsi="Times New Roman"/>
          <w:sz w:val="19"/>
          <w:szCs w:val="19"/>
          <w:color w:val="auto"/>
        </w:rPr>
      </w:pPr>
    </w:p>
    <w:p>
      <w:pPr>
        <w:ind w:left="960" w:right="320" w:hanging="480"/>
        <w:spacing w:after="0" w:line="243"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safety and tolerability profiles that are satisfactory to the FDA, EMA or any comparable foreign regulatory authority for marketing approval;</w:t>
      </w:r>
    </w:p>
    <w:p>
      <w:pPr>
        <w:spacing w:after="0" w:line="174" w:lineRule="exact"/>
        <w:rPr>
          <w:rFonts w:ascii="Times New Roman" w:cs="Times New Roman" w:eastAsia="Times New Roman" w:hAnsi="Times New Roman"/>
          <w:sz w:val="20"/>
          <w:szCs w:val="20"/>
          <w:color w:val="auto"/>
        </w:rPr>
      </w:pPr>
    </w:p>
    <w:p>
      <w:pPr>
        <w:ind w:left="960" w:right="780" w:hanging="480"/>
        <w:spacing w:after="0" w:line="243"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timely receipt of marketing approvals for our product candidates from applicable regulatory authorities;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any required post-marketing approval commitments to applicable regulatory authorities;</w:t>
      </w:r>
    </w:p>
    <w:p>
      <w:pPr>
        <w:spacing w:after="0" w:line="176" w:lineRule="exact"/>
        <w:rPr>
          <w:rFonts w:ascii="Times New Roman" w:cs="Times New Roman" w:eastAsia="Times New Roman" w:hAnsi="Times New Roman"/>
          <w:sz w:val="20"/>
          <w:szCs w:val="20"/>
          <w:color w:val="auto"/>
        </w:rPr>
      </w:pPr>
    </w:p>
    <w:p>
      <w:pPr>
        <w:ind w:left="960" w:right="140" w:hanging="480"/>
        <w:spacing w:after="0" w:line="243"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maintenance of existing or the establishment of new supply arrangements with third-party suppliers and manufacturers for clinical development of briquilimab;</w:t>
      </w:r>
    </w:p>
    <w:p>
      <w:pPr>
        <w:spacing w:after="0" w:line="174" w:lineRule="exact"/>
        <w:rPr>
          <w:rFonts w:ascii="Times New Roman" w:cs="Times New Roman" w:eastAsia="Times New Roman" w:hAnsi="Times New Roman"/>
          <w:sz w:val="20"/>
          <w:szCs w:val="20"/>
          <w:color w:val="auto"/>
        </w:rPr>
      </w:pPr>
    </w:p>
    <w:p>
      <w:pPr>
        <w:ind w:left="960" w:right="680" w:hanging="480"/>
        <w:spacing w:after="0" w:line="246"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maintenance of existing, or the establishment of new, scaled production arrangements with third-party manufacturers to obtain finished products that are appropriate for commercial sale of briquilimab, if it is approved;</w:t>
      </w:r>
    </w:p>
    <w:p>
      <w:pPr>
        <w:spacing w:after="0" w:line="172" w:lineRule="exact"/>
        <w:rPr>
          <w:rFonts w:ascii="Times New Roman" w:cs="Times New Roman" w:eastAsia="Times New Roman" w:hAnsi="Times New Roman"/>
          <w:sz w:val="20"/>
          <w:szCs w:val="20"/>
          <w:color w:val="auto"/>
        </w:rPr>
      </w:pPr>
    </w:p>
    <w:p>
      <w:pPr>
        <w:ind w:left="960" w:right="240" w:hanging="480"/>
        <w:spacing w:after="0" w:line="243"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protection, trade secret protection and regulatory exclusivity, both in the United States and internationally;</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continued acceptable safety profile following any marketing approval;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acceptance by patients, the medical community and third-party payors;</w:t>
      </w:r>
    </w:p>
    <w:p>
      <w:pPr>
        <w:spacing w:after="0" w:line="176" w:lineRule="exact"/>
        <w:rPr>
          <w:rFonts w:ascii="Times New Roman" w:cs="Times New Roman" w:eastAsia="Times New Roman" w:hAnsi="Times New Roman"/>
          <w:sz w:val="20"/>
          <w:szCs w:val="20"/>
          <w:color w:val="auto"/>
        </w:rPr>
      </w:pPr>
    </w:p>
    <w:p>
      <w:pPr>
        <w:jc w:val="both"/>
        <w:ind w:left="960" w:right="60" w:hanging="480"/>
        <w:spacing w:after="0" w:line="246" w:lineRule="auto"/>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coverage and adequate reimbursement from third-party payors for our products, and patients’ willingness to pay out-of-pocket in the absence of such coverage and adequate reimbursement; and</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compete with other treatments.</w:t>
      </w:r>
    </w:p>
    <w:p>
      <w:pPr>
        <w:spacing w:after="0" w:line="177"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9"/>
          <w:szCs w:val="19"/>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w:t>
      </w:r>
    </w:p>
    <w:p>
      <w:pPr>
        <w:spacing w:after="0" w:line="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or more of these factors in a timely manner or at all, we could experience significant delays or an inability to successfully commercialize briquilimab, which would materially harm our business. If we do not receive marketing approvals for briquilimab, we may not be able to continue our operations.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941" w:right="1440" w:bottom="348" w:gutter="0" w:footer="0" w:header="0"/>
          <w:type w:val="continuous"/>
        </w:sectPr>
      </w:pPr>
    </w:p>
    <w:bookmarkStart w:id="40" w:name="page41"/>
    <w:bookmarkEnd w:id="40"/>
    <w:p>
      <w:pPr>
        <w:ind w:right="260"/>
        <w:spacing w:after="0"/>
        <w:rPr>
          <w:sz w:val="20"/>
          <w:szCs w:val="20"/>
          <w:color w:val="auto"/>
        </w:rPr>
      </w:pPr>
      <w:r>
        <w:rPr>
          <w:rFonts w:ascii="Times New Roman" w:cs="Times New Roman" w:eastAsia="Times New Roman" w:hAnsi="Times New Roman"/>
          <w:sz w:val="20"/>
          <w:szCs w:val="20"/>
          <w:b w:val="1"/>
          <w:bCs w:val="1"/>
          <w:i w:val="1"/>
          <w:iCs w:val="1"/>
          <w:color w:val="auto"/>
        </w:rPr>
        <w:t>Delays in the commencement or completion of clinical trials could result in increased costs to us and delay our ability to establish strategic collaborations.</w:t>
      </w:r>
    </w:p>
    <w:p>
      <w:pPr>
        <w:spacing w:after="0" w:line="177" w:lineRule="exact"/>
        <w:rPr>
          <w:sz w:val="20"/>
          <w:szCs w:val="20"/>
          <w:color w:val="auto"/>
        </w:rPr>
      </w:pPr>
    </w:p>
    <w:p>
      <w:pPr>
        <w:ind w:right="100" w:firstLine="480"/>
        <w:spacing w:after="0" w:line="248" w:lineRule="auto"/>
        <w:rPr>
          <w:sz w:val="20"/>
          <w:szCs w:val="20"/>
          <w:color w:val="auto"/>
        </w:rPr>
      </w:pPr>
      <w:r>
        <w:rPr>
          <w:rFonts w:ascii="Times New Roman" w:cs="Times New Roman" w:eastAsia="Times New Roman" w:hAnsi="Times New Roman"/>
          <w:sz w:val="20"/>
          <w:szCs w:val="20"/>
          <w:color w:val="auto"/>
        </w:rPr>
        <w:t>Delays in the commencement or completion of clinical trials could significantly impact our drug development costs. We do not know whether planned clinical trials will begin on time or be completed on schedule, if at all. The commencement of clinical trials can be delayed for a variety of reasons, including, but not limited to, delays related to:</w:t>
      </w:r>
    </w:p>
    <w:p>
      <w:pPr>
        <w:spacing w:after="0" w:line="163" w:lineRule="exact"/>
        <w:rPr>
          <w:sz w:val="20"/>
          <w:szCs w:val="20"/>
          <w:color w:val="auto"/>
        </w:rPr>
      </w:pPr>
    </w:p>
    <w:p>
      <w:pPr>
        <w:ind w:left="960" w:hanging="480"/>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regulatory approval to commence one or more clinical trials;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reaching agreement on acceptable terms with prospective CROs and clinical trial sites;</w:t>
      </w:r>
    </w:p>
    <w:p>
      <w:pPr>
        <w:spacing w:after="0" w:line="176" w:lineRule="exact"/>
        <w:rPr>
          <w:rFonts w:ascii="Times New Roman" w:cs="Times New Roman" w:eastAsia="Times New Roman" w:hAnsi="Times New Roman"/>
          <w:sz w:val="20"/>
          <w:szCs w:val="20"/>
          <w:color w:val="auto"/>
        </w:rPr>
      </w:pPr>
    </w:p>
    <w:p>
      <w:pPr>
        <w:jc w:val="both"/>
        <w:ind w:left="960" w:right="440" w:hanging="480"/>
        <w:spacing w:after="0" w:line="246"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quantities of a product candidate or other materials necessary to conduct clinical trials, as well as receiving the supplies and materials needed to conduct our clinical trials, including interruptions in global shipping that may affect the transport of clinical materials;</w:t>
      </w:r>
    </w:p>
    <w:p>
      <w:pPr>
        <w:spacing w:after="0" w:line="172" w:lineRule="exact"/>
        <w:rPr>
          <w:rFonts w:ascii="Times New Roman" w:cs="Times New Roman" w:eastAsia="Times New Roman" w:hAnsi="Times New Roman"/>
          <w:sz w:val="20"/>
          <w:szCs w:val="20"/>
          <w:color w:val="auto"/>
        </w:rPr>
      </w:pPr>
    </w:p>
    <w:p>
      <w:pPr>
        <w:ind w:left="960" w:right="900" w:hanging="480"/>
        <w:spacing w:after="0" w:line="268" w:lineRule="auto"/>
        <w:tabs>
          <w:tab w:leader="none" w:pos="96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unexpected changes in tariffs, trade barriers, price and exchange controls and other regulatory requirements, which may negatively impact the supply chain or cause other disruptions;</w:t>
      </w:r>
    </w:p>
    <w:p>
      <w:pPr>
        <w:spacing w:after="0" w:line="152" w:lineRule="exact"/>
        <w:rPr>
          <w:rFonts w:ascii="Times New Roman" w:cs="Times New Roman" w:eastAsia="Times New Roman" w:hAnsi="Times New Roman"/>
          <w:sz w:val="19"/>
          <w:szCs w:val="19"/>
          <w:color w:val="auto"/>
        </w:rPr>
      </w:pPr>
    </w:p>
    <w:p>
      <w:pPr>
        <w:ind w:left="960" w:right="20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institutional review board or ethics committee approval to conduct one or more clinical trials at a prospective site;</w:t>
      </w:r>
    </w:p>
    <w:p>
      <w:pPr>
        <w:spacing w:after="0" w:line="174"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and enrolling patients to participate in one or more clinical trials, especially as patients may be reluctant or unable to visit clinical sites, or may delay seeking treatment for chronic conditions;</w:t>
      </w:r>
    </w:p>
    <w:p>
      <w:pPr>
        <w:spacing w:after="0" w:line="174" w:lineRule="exact"/>
        <w:rPr>
          <w:rFonts w:ascii="Times New Roman" w:cs="Times New Roman" w:eastAsia="Times New Roman" w:hAnsi="Times New Roman"/>
          <w:sz w:val="20"/>
          <w:szCs w:val="20"/>
          <w:color w:val="auto"/>
        </w:rPr>
      </w:pPr>
    </w:p>
    <w:p>
      <w:pPr>
        <w:ind w:left="960" w:right="8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collaborators to adequately resource our product candidates due to their focus on other programs or as a result of general market conditions;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clinical site investigators, clinical site staff and potential closure of clinical facilities; and</w:t>
      </w:r>
    </w:p>
    <w:p>
      <w:pPr>
        <w:spacing w:after="0" w:line="176" w:lineRule="exact"/>
        <w:rPr>
          <w:rFonts w:ascii="Times New Roman" w:cs="Times New Roman" w:eastAsia="Times New Roman" w:hAnsi="Times New Roman"/>
          <w:sz w:val="20"/>
          <w:szCs w:val="20"/>
          <w:color w:val="auto"/>
        </w:rPr>
      </w:pPr>
    </w:p>
    <w:p>
      <w:pPr>
        <w:ind w:left="960" w:right="800" w:hanging="480"/>
        <w:spacing w:after="0" w:line="243" w:lineRule="auto"/>
        <w:tabs>
          <w:tab w:leader="none" w:pos="9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regulations, which may require us to change the ways in which our clinical trials are conducted.</w:t>
      </w:r>
    </w:p>
    <w:p>
      <w:pPr>
        <w:spacing w:after="0" w:line="174" w:lineRule="exact"/>
        <w:rPr>
          <w:sz w:val="20"/>
          <w:szCs w:val="20"/>
          <w:color w:val="auto"/>
        </w:rPr>
      </w:pPr>
    </w:p>
    <w:p>
      <w:pPr>
        <w:jc w:val="both"/>
        <w:ind w:right="360" w:firstLine="480"/>
        <w:spacing w:after="0" w:line="246" w:lineRule="auto"/>
        <w:rPr>
          <w:sz w:val="20"/>
          <w:szCs w:val="20"/>
          <w:color w:val="auto"/>
        </w:rPr>
      </w:pPr>
      <w:r>
        <w:rPr>
          <w:rFonts w:ascii="Times New Roman" w:cs="Times New Roman" w:eastAsia="Times New Roman" w:hAnsi="Times New Roman"/>
          <w:sz w:val="20"/>
          <w:szCs w:val="20"/>
          <w:color w:val="auto"/>
        </w:rPr>
        <w:t>In addition, once a clinical trial has begun, it may be suspended or terminated by us, our collaborators, the institutional review boards or data safety monitoring boards charged with overseeing our clinical trials, the FDA, EMA or comparable foreign authorities due to a number of factors, including:</w:t>
      </w:r>
    </w:p>
    <w:p>
      <w:pPr>
        <w:spacing w:after="0" w:line="166" w:lineRule="exact"/>
        <w:rPr>
          <w:sz w:val="20"/>
          <w:szCs w:val="20"/>
          <w:color w:val="auto"/>
        </w:rPr>
      </w:pPr>
    </w:p>
    <w:p>
      <w:pPr>
        <w:ind w:left="960" w:hanging="480"/>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conduct the clinical trial in accordance with regulatory requirements or clinical protocols;</w:t>
      </w:r>
    </w:p>
    <w:p>
      <w:pPr>
        <w:spacing w:after="0" w:line="176" w:lineRule="exact"/>
        <w:rPr>
          <w:rFonts w:ascii="Times New Roman" w:cs="Times New Roman" w:eastAsia="Times New Roman" w:hAnsi="Times New Roman"/>
          <w:sz w:val="20"/>
          <w:szCs w:val="20"/>
          <w:color w:val="auto"/>
        </w:rPr>
      </w:pPr>
    </w:p>
    <w:p>
      <w:pPr>
        <w:ind w:left="960" w:right="260" w:hanging="480"/>
        <w:spacing w:after="0" w:line="243" w:lineRule="auto"/>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inspection of the clinical trial operations or clinical trial site by the FDA, EMA or comparable foreign authorities resulting in the imposition of a clinical hold;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safety issues; or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funding to continue the clinical trial.</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If we experience delays in the completion or termination of any clinical trial of our product candidates, the commercial prospects of our product candidates will be harmed, and our ability to commence product sales and generate product revenues from any of our product candidates will be delayed. For example, in July 2025, we reported that results from the 240mg Q8W and the 240mg/180mg Q8W dose cohorts in our Phase 1b/2a BEACON study in CSU demonstrated an atypical absence of UAS7 reduction in 11 of the 13 patients enrolled, and as a result, we investigated the results of those two cohorts. The investigation has been completed, and based on the work completed, the additional data from subsequent dosing of the US patients and input from the KOL panel, we concluded that the unexpected lack of efficacy observed in the US patients was not the result of any issues with drug product, but rather appears to be the result of patient selection issues, specifically the fact that it appears that 9 of the 10 CSU patients enrolled in the study may not have had mast-cell driven disease. In addition, in July 2025, we halted enrollment in the ETESIAN study due to the fact that clinical material for the ETESIAN study was supplied from a drug product lot under investigation due to an atypical lack of efficacy noted in two of the cohorts in the BEACON study in which material from that drug product lot was also used. These and any other delays in completing our clinical trials have and will continue to increase our costs and slow down our product candidate development and approval process. Delays in completing our clinical trials could also allow our</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951" w:right="1440" w:bottom="348" w:gutter="0" w:footer="0" w:header="0"/>
          <w:type w:val="continuous"/>
        </w:sectPr>
      </w:pPr>
    </w:p>
    <w:bookmarkStart w:id="41" w:name="page42"/>
    <w:bookmarkEnd w:id="41"/>
    <w:p>
      <w:pPr>
        <w:ind w:right="160"/>
        <w:spacing w:after="0" w:line="248" w:lineRule="auto"/>
        <w:rPr>
          <w:sz w:val="20"/>
          <w:szCs w:val="20"/>
          <w:color w:val="auto"/>
        </w:rPr>
      </w:pPr>
      <w:r>
        <w:rPr>
          <w:rFonts w:ascii="Times New Roman" w:cs="Times New Roman" w:eastAsia="Times New Roman" w:hAnsi="Times New Roman"/>
          <w:sz w:val="20"/>
          <w:szCs w:val="20"/>
          <w:color w:val="auto"/>
        </w:rPr>
        <w:t>competitors to obtain marketing approval before we do or shorten the patent protection period during which we may have the exclusive right to commercialize our product candidates.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5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develop and commercialize briquilimab in additional indications or to identify additional product candidates. If these efforts are unsuccessful, we may never become a commercial stage company or generate any revenues.</w:t>
      </w:r>
    </w:p>
    <w:p>
      <w:pPr>
        <w:spacing w:after="0" w:line="173"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The success of our business depends primarily upon our ability to develop, and commercialize briquilimab in additional indications or to identify additional product candidates. We are currently planning a Phase 2b/3 study of briquilimab in patients with CSU. We may fail to identify additional indications for clinical development or product candidates for clinical development for a number of reasons. Our methodology may be unsuccessful in identifying attractive potential product candidates, potential product candidates identified may be shown to have harmful side effects in preclinical in vitro experiments or animal model studies, they may not show promising signals of efficacy in such experiments or studies or they may have other characteristics that may make the product candidates impractical to manufacture, unmarketable or unlikely to receive marketing approval. The historical failure rate for product candidates is high due to risks relating to safety, efficacy, clinical execution, changing standards of medical care, and other unpredictable variables. In addition, given capital constraints and changing market conditions, our ability to expand our portfolio may never materialize. For example, advancing any future clinical studies in asthma will be based on an evaluation of the competitive landscape, the potential for strategic partnerships and capital availability.</w:t>
      </w:r>
    </w:p>
    <w:p>
      <w:pPr>
        <w:spacing w:after="0" w:line="178"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If any of these events occur, we may be forced to abandon our development efforts for a program or programs, which would have a material adverse effect on our business, financial condition, results of operations and prospects. Additional clinical development programs in new indications or with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25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3"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For example, on July 8, 2025, we implemented a corporate reorganization and refined our operating plan to focus on our briquilimab clinical development programs in chronic urticaria and halted enrollment in our Phase 1b asthma study and halted our other clinical and preclinical programs, including our severe combined immunodeficiency (“SCID”) program and any remaining Investigator Sponsored Trials (“ISTs”). Our resource allocation decisions may cause us to fail to capitalize on viable commercial medicines or profitable market opportunities. Our projections of both the number of people who have these diseases, as well as the subset of people with these diseases who have the potential to benefit from treatment with our product candidates, are based on estimates. If any of our estimates are inaccurate, the market opportunities for any of our product candidates could be significantly diminished and have an adverse material impact on our business. Additionally, the potentially addressable patient population for our product candidates may be limited, or may not be amenable to treatment with our product candidates.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(including briquilimab),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948" w:right="1440" w:bottom="348" w:gutter="0" w:footer="0" w:header="0"/>
          <w:type w:val="continuous"/>
        </w:sectPr>
      </w:pPr>
    </w:p>
    <w:bookmarkStart w:id="42" w:name="page43"/>
    <w:bookmarkEnd w:id="42"/>
    <w:p>
      <w:pPr>
        <w:ind w:right="30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If any of our product candidates cause serious adverse events, undesirable side effects or unexpected characteristics, such events, side effects or characteristics could delay or prevent regulatory approval of the product candidate, limit our commercial potential or result in significant negative consequences following any potential marketing approval.</w:t>
      </w:r>
    </w:p>
    <w:p>
      <w:pPr>
        <w:spacing w:after="0" w:line="171" w:lineRule="exact"/>
        <w:rPr>
          <w:sz w:val="20"/>
          <w:szCs w:val="20"/>
          <w:color w:val="auto"/>
        </w:rPr>
      </w:pPr>
    </w:p>
    <w:p>
      <w:pPr>
        <w:jc w:val="both"/>
        <w:ind w:right="160" w:firstLine="480"/>
        <w:spacing w:after="0" w:line="263" w:lineRule="auto"/>
        <w:rPr>
          <w:sz w:val="20"/>
          <w:szCs w:val="20"/>
          <w:color w:val="auto"/>
        </w:rPr>
      </w:pPr>
      <w:r>
        <w:rPr>
          <w:rFonts w:ascii="Times New Roman" w:cs="Times New Roman" w:eastAsia="Times New Roman" w:hAnsi="Times New Roman"/>
          <w:sz w:val="19"/>
          <w:szCs w:val="19"/>
          <w:color w:val="auto"/>
        </w:rPr>
        <w:t>Undesirable side effects or adverse events caused by briquilimab or other therapeutics we may develop could cause us or regulatory authorities to interrupt, delay or halt clinical trials and could result in a more restrictive label or the delay or denial of regulatory approval by the FDA or comparable foreign regulatory authorities. Results</w:t>
      </w:r>
    </w:p>
    <w:p>
      <w:pPr>
        <w:spacing w:after="0" w:line="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of our clinical trials could reveal a high and unacceptable severity and prevalence of side effects or unexpected characteristics. Treatment-related side effects could also affect patient recruitment or the ability of enrolled patients to complete the trials or result in potential product liability claims.</w:t>
      </w:r>
    </w:p>
    <w:p>
      <w:pPr>
        <w:spacing w:after="0" w:line="173"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have later been found to cause side effects that prevented further clinical development of the product candidates.</w:t>
      </w:r>
    </w:p>
    <w:p>
      <w:pPr>
        <w:spacing w:after="0" w:line="25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Results of preclinical studies and early clinical trials may not be predictive of results of future clinical trials, and such results do not guarantee approval of a product candidate by regulatory authorities. In addition, our clinical trials to date have been limited in scope, and results received to date may not be replicated in expanded or additional future clinical trials.</w:t>
      </w:r>
    </w:p>
    <w:p>
      <w:pPr>
        <w:spacing w:after="0" w:line="171"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The outcome of preclinical studies and early clinical trials may not be predictive of the success of later clinical trials, and interim results of clinical trials do not necessarily predict success in the results of completed clinical trials. There can be no assurance that any of our current or future preclinical and clinical trials will ultimately be successful or support further preclinical or clinical development of any of our product candidates.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Many companies that believed their product candidates performed satisfactorily in preclinical studies and clinical trials have nonetheless failed to obtain regulatory approval for their product candidates. In addition, preclinical and clinical data are often susceptible to varying interpretations and analyses, which may delay, limit or prevent regulatory approval. In addition, regulatory delays or rejections may be encountered as a result of many factors, including changes in regulatory policy during the period of product development. Any such adverse events may cause us to delay, limit or terminate planned clinical trials, any of which would have a material adverse effect on our business, financial condition, results of operations and prospects.</w:t>
      </w:r>
    </w:p>
    <w:p>
      <w:pPr>
        <w:spacing w:after="0" w:line="180"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If we fail to receive positive results in clinical trials of our product candidates, the development timeline and regulatory approval and commercialization prospects for our most advanced product candidate, and, correspondingly, our business and financial prospects would be negatively impacted.</w:t>
      </w:r>
    </w:p>
    <w:p>
      <w:pPr>
        <w:spacing w:after="0" w:line="25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If we experience delays or difficulties in the enrollment of patients in clinical trials, the cost of developing product candidates could increase and our receipt of necessary regulatory approvals could be delayed or prevented.</w:t>
      </w:r>
    </w:p>
    <w:p>
      <w:pPr>
        <w:spacing w:after="0" w:line="155" w:lineRule="exact"/>
        <w:rPr>
          <w:sz w:val="20"/>
          <w:szCs w:val="20"/>
          <w:color w:val="auto"/>
        </w:rPr>
      </w:pPr>
    </w:p>
    <w:p>
      <w:pPr>
        <w:ind w:right="220" w:firstLine="480"/>
        <w:spacing w:after="0" w:line="264" w:lineRule="auto"/>
        <w:rPr>
          <w:sz w:val="20"/>
          <w:szCs w:val="20"/>
          <w:color w:val="auto"/>
        </w:rPr>
      </w:pPr>
      <w:r>
        <w:rPr>
          <w:rFonts w:ascii="Times New Roman" w:cs="Times New Roman" w:eastAsia="Times New Roman" w:hAnsi="Times New Roman"/>
          <w:sz w:val="19"/>
          <w:szCs w:val="19"/>
          <w:color w:val="auto"/>
        </w:rPr>
        <w:t>Patient enrollment is a significant factor in the timing of clinical trials. The timing of our clinical trials depends, in part, on the speed at which we can recruit patients to participate in our trials. We or our collaborators may not be able to continue clinical trials for briquilimab or any other product candidates we identify or develop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Patients may be unwilling to participate in our clinical trials because</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951" w:right="1440" w:bottom="348" w:gutter="0" w:footer="0" w:header="0"/>
          <w:type w:val="continuous"/>
        </w:sectPr>
      </w:pPr>
    </w:p>
    <w:bookmarkStart w:id="43" w:name="page44"/>
    <w:bookmarkEnd w:id="43"/>
    <w:p>
      <w:pPr>
        <w:spacing w:after="0" w:line="246" w:lineRule="auto"/>
        <w:rPr>
          <w:sz w:val="20"/>
          <w:szCs w:val="20"/>
          <w:color w:val="auto"/>
        </w:rPr>
      </w:pPr>
      <w:r>
        <w:rPr>
          <w:rFonts w:ascii="Times New Roman" w:cs="Times New Roman" w:eastAsia="Times New Roman" w:hAnsi="Times New Roman"/>
          <w:sz w:val="20"/>
          <w:szCs w:val="20"/>
          <w:color w:val="auto"/>
        </w:rPr>
        <w:t>of negative publicity from adverse events related to the biotechnology competitive clinical trials for similar patient populations, clinical trials in competing products or for other reasons. As a result, the timeline for recruiting patients, conducting trials and obtaining regulatory approval of product candidates may be delayed.</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Patient enrollment is also affected by other factors, including:</w:t>
      </w:r>
    </w:p>
    <w:p>
      <w:pPr>
        <w:spacing w:after="0" w:line="170" w:lineRule="exact"/>
        <w:rPr>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size of the patient population and process for identifying patients;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of the trial protocol;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and efficacy of approved medications for the disease under investigation;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of genetic testing for potential patients;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obtain and maintain patient informed consent;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that enrolled patients will drop out before completion of the trial;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eligibility and exclusion criteria for the trial in question;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perceived risks and benefits of the product candidate under trial;</w:t>
      </w:r>
    </w:p>
    <w:p>
      <w:pPr>
        <w:spacing w:after="0" w:line="176" w:lineRule="exact"/>
        <w:rPr>
          <w:rFonts w:ascii="Times New Roman" w:cs="Times New Roman" w:eastAsia="Times New Roman" w:hAnsi="Times New Roman"/>
          <w:sz w:val="20"/>
          <w:szCs w:val="20"/>
          <w:color w:val="auto"/>
        </w:rPr>
      </w:pPr>
    </w:p>
    <w:p>
      <w:pPr>
        <w:ind w:left="960" w:right="18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perceived risks and benefits of the companion therapeutics that may be administered in combination or in sequence with briquilimab;</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efforts to facilitate timely enrollment in clinical trials;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monitor patients adequately during and after treatment;</w:t>
      </w:r>
    </w:p>
    <w:p>
      <w:pPr>
        <w:spacing w:after="0" w:line="176" w:lineRule="exact"/>
        <w:rPr>
          <w:rFonts w:ascii="Times New Roman" w:cs="Times New Roman" w:eastAsia="Times New Roman" w:hAnsi="Times New Roman"/>
          <w:sz w:val="20"/>
          <w:szCs w:val="20"/>
          <w:color w:val="auto"/>
        </w:rPr>
      </w:pPr>
    </w:p>
    <w:p>
      <w:pPr>
        <w:ind w:left="960" w:right="260" w:hanging="480"/>
        <w:spacing w:after="0" w:line="243"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proximity and availability of clinical trial sites for prospective patients, especially for those conditions that have small patient pools; and</w:t>
      </w:r>
    </w:p>
    <w:p>
      <w:pPr>
        <w:spacing w:after="0" w:line="174" w:lineRule="exact"/>
        <w:rPr>
          <w:rFonts w:ascii="Times New Roman" w:cs="Times New Roman" w:eastAsia="Times New Roman" w:hAnsi="Times New Roman"/>
          <w:sz w:val="20"/>
          <w:szCs w:val="20"/>
          <w:color w:val="auto"/>
        </w:rPr>
      </w:pPr>
    </w:p>
    <w:p>
      <w:pPr>
        <w:ind w:left="960" w:right="60" w:hanging="480"/>
        <w:spacing w:after="0" w:line="248" w:lineRule="auto"/>
        <w:tabs>
          <w:tab w:leader="none" w:pos="9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factors outside of our control, such as overall economic conditions and volatility in the credit and financial markets, tariffs imposed by the U.S. and other countries, inflationary pressures, trade wars, the Russian invasion of Ukraine, conflicts in the Middle East, instability in Venezuela and other geopolitical conflicts.</w:t>
      </w:r>
    </w:p>
    <w:p>
      <w:pPr>
        <w:spacing w:after="0" w:line="169"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have opted to enroll in our trials may instead opt to enroll in a trial being conducted by a competitor. We may conduct some of our clinical trials at the same clinical trial sites that some of our competitors use, which will reduce the number of patients who are available for our clinical trials at such clinical trial sites.</w:t>
      </w:r>
    </w:p>
    <w:p>
      <w:pPr>
        <w:spacing w:after="0" w:line="168" w:lineRule="exact"/>
        <w:rPr>
          <w:sz w:val="20"/>
          <w:szCs w:val="20"/>
          <w:color w:val="auto"/>
        </w:rPr>
      </w:pPr>
    </w:p>
    <w:p>
      <w:pPr>
        <w:ind w:right="40" w:firstLine="480"/>
        <w:spacing w:after="0" w:line="248" w:lineRule="auto"/>
        <w:rPr>
          <w:sz w:val="20"/>
          <w:szCs w:val="20"/>
          <w:color w:val="auto"/>
        </w:rPr>
      </w:pPr>
      <w:r>
        <w:rPr>
          <w:rFonts w:ascii="Times New Roman" w:cs="Times New Roman" w:eastAsia="Times New Roman" w:hAnsi="Times New Roman"/>
          <w:sz w:val="20"/>
          <w:szCs w:val="20"/>
          <w:color w:val="auto"/>
        </w:rPr>
        <w:t>Enrollment delays in our clinical trials may result in increased development costs for briquilimab or any other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54"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20"/>
          <w:szCs w:val="20"/>
          <w:b w:val="1"/>
          <w:bCs w:val="1"/>
          <w:i w:val="1"/>
          <w:iCs w:val="1"/>
          <w:color w:val="auto"/>
        </w:rPr>
        <w:t>We have never obtained regulatory approval for a drug, may never receive regulatory approval for any of our product candidates, and may therefore never generate revenues from product sales.</w:t>
      </w:r>
    </w:p>
    <w:p>
      <w:pPr>
        <w:spacing w:after="0" w:line="177" w:lineRule="exact"/>
        <w:rPr>
          <w:sz w:val="20"/>
          <w:szCs w:val="20"/>
          <w:color w:val="auto"/>
        </w:rPr>
      </w:pPr>
    </w:p>
    <w:p>
      <w:pPr>
        <w:ind w:right="380" w:firstLine="480"/>
        <w:spacing w:after="0" w:line="264" w:lineRule="auto"/>
        <w:rPr>
          <w:sz w:val="20"/>
          <w:szCs w:val="20"/>
          <w:color w:val="auto"/>
        </w:rPr>
      </w:pPr>
      <w:r>
        <w:rPr>
          <w:rFonts w:ascii="Times New Roman" w:cs="Times New Roman" w:eastAsia="Times New Roman" w:hAnsi="Times New Roman"/>
          <w:sz w:val="19"/>
          <w:szCs w:val="19"/>
          <w:color w:val="auto"/>
        </w:rPr>
        <w:t>As a company, we have never obtained regulatory approval for, or commercialized, a drug. It is possible that the FDA may refuse to accept any or all future product candidates for substantive review or may conclude after review of our data that our application is insufficient to obtain regulatory approval for any current or future product candidates. If the FDA does not approve any future product candidates, it may require that we conduct additional costly clinical, preclinical or manufacturing validation studies before the FDA will reconsider one or</w:t>
      </w:r>
    </w:p>
    <w:p>
      <w:pPr>
        <w:sectPr>
          <w:pgSz w:w="12240" w:h="15840" w:orient="portrait"/>
          <w:cols w:equalWidth="0" w:num="1">
            <w:col w:w="9360"/>
          </w:cols>
          <w:pgMar w:left="1440" w:top="948" w:right="1440" w:bottom="348"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948" w:right="1440" w:bottom="348" w:gutter="0" w:footer="0" w:header="0"/>
          <w:type w:val="continuous"/>
        </w:sectPr>
      </w:pPr>
    </w:p>
    <w:bookmarkStart w:id="44" w:name="page45"/>
    <w:bookmarkEnd w:id="44"/>
    <w:p>
      <w:pPr>
        <w:ind w:right="40"/>
        <w:spacing w:after="0" w:line="249" w:lineRule="auto"/>
        <w:rPr>
          <w:sz w:val="20"/>
          <w:szCs w:val="20"/>
          <w:color w:val="auto"/>
        </w:rPr>
      </w:pPr>
      <w:r>
        <w:rPr>
          <w:rFonts w:ascii="Times New Roman" w:cs="Times New Roman" w:eastAsia="Times New Roman" w:hAnsi="Times New Roman"/>
          <w:sz w:val="20"/>
          <w:szCs w:val="20"/>
          <w:color w:val="auto"/>
        </w:rPr>
        <w:t>more of our applications. Depending on the extent of these or any other FDA-required studies, approval of any product candidates or other application that we submit may be significantly delayed, possibly for several years, or may require us to expend more resources than we have available. Any failure or delay in obtaining regulatory approvals would prevent us from commercializing briquilimab or any other product candidate, generating revenues and achieving and obtaining or sustaining profitability. It is also possible that additional studies, if performed and completed, may not be considered sufficient by the FDA to approve any new drug application or other application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55"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commercial success depends upon attaining significant market acceptance of our product candidates, if approved, among physicians, patients, healthcare payers and operators of major clinics, and we may not be successful in attaining such market acceptance.</w:t>
      </w:r>
    </w:p>
    <w:p>
      <w:pPr>
        <w:spacing w:after="0" w:line="173"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Even with the requisite approvals from the FDA in the U.S., the EMA in the European Union and other regulatory authorities internationally, the commercial success of our product candidates will depend, in part, upon the degree of market acceptance by physicians, patients, third-party payors and others in the medical community.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Efforts to educate the medical community and third-party payors on the benefits of our product candidates may require significant resources, including our management’s time and financial resources, and may not be successful. Even if any product candidate we develop receives marketing approval, it may nonetheless fail to gain sufficient market acceptance by physicians, patients, healthcare payors and others in the medical community. The degree of market acceptance of any product candidate we develop, if approved for commercial sale, will depend on a number of factors, including:</w:t>
      </w:r>
    </w:p>
    <w:p>
      <w:pPr>
        <w:spacing w:after="0" w:line="169" w:lineRule="exact"/>
        <w:rPr>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safety of such product candidate as demonstrated in clinical trials;</w:t>
      </w:r>
    </w:p>
    <w:p>
      <w:pPr>
        <w:spacing w:after="0" w:line="176" w:lineRule="exact"/>
        <w:rPr>
          <w:rFonts w:ascii="Times New Roman" w:cs="Times New Roman" w:eastAsia="Times New Roman" w:hAnsi="Times New Roman"/>
          <w:sz w:val="20"/>
          <w:szCs w:val="20"/>
          <w:color w:val="auto"/>
        </w:rPr>
      </w:pPr>
    </w:p>
    <w:p>
      <w:pPr>
        <w:ind w:left="960" w:right="26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safety of other products that are used in combination or in sequence with our product candidates;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and perceived advantages of our product candidates compared to alternative treatments;</w:t>
      </w:r>
    </w:p>
    <w:p>
      <w:pPr>
        <w:spacing w:after="0" w:line="176" w:lineRule="exact"/>
        <w:rPr>
          <w:rFonts w:ascii="Times New Roman" w:cs="Times New Roman" w:eastAsia="Times New Roman" w:hAnsi="Times New Roman"/>
          <w:sz w:val="20"/>
          <w:szCs w:val="20"/>
          <w:color w:val="auto"/>
        </w:rPr>
      </w:pPr>
    </w:p>
    <w:p>
      <w:pPr>
        <w:ind w:left="960" w:right="56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limitation to our targeted patient population and limitations or warnings contained in approved labeling by the FDA or other regulatory authorities;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offer our products for sale at competitive prices;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convenience and ease of administration compared to alternative treatments;</w:t>
      </w:r>
    </w:p>
    <w:p>
      <w:pPr>
        <w:spacing w:after="0" w:line="176" w:lineRule="exact"/>
        <w:rPr>
          <w:rFonts w:ascii="Times New Roman" w:cs="Times New Roman" w:eastAsia="Times New Roman" w:hAnsi="Times New Roman"/>
          <w:sz w:val="20"/>
          <w:szCs w:val="20"/>
          <w:color w:val="auto"/>
        </w:rPr>
      </w:pPr>
    </w:p>
    <w:p>
      <w:pPr>
        <w:ind w:left="960" w:right="54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the product candidate is approved by the FDA, the EMA or other regulatory agencies;</w:t>
      </w:r>
    </w:p>
    <w:p>
      <w:pPr>
        <w:spacing w:after="0" w:line="174" w:lineRule="exact"/>
        <w:rPr>
          <w:rFonts w:ascii="Times New Roman" w:cs="Times New Roman" w:eastAsia="Times New Roman" w:hAnsi="Times New Roman"/>
          <w:sz w:val="20"/>
          <w:szCs w:val="20"/>
          <w:color w:val="auto"/>
        </w:rPr>
      </w:pPr>
    </w:p>
    <w:p>
      <w:pPr>
        <w:ind w:left="960" w:right="4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the target patient population to try novel biologics and of physicians to prescribe these treatments;</w:t>
      </w:r>
    </w:p>
    <w:p>
      <w:pPr>
        <w:spacing w:after="0" w:line="174" w:lineRule="exact"/>
        <w:rPr>
          <w:rFonts w:ascii="Times New Roman" w:cs="Times New Roman" w:eastAsia="Times New Roman" w:hAnsi="Times New Roman"/>
          <w:sz w:val="20"/>
          <w:szCs w:val="20"/>
          <w:color w:val="auto"/>
        </w:rPr>
      </w:pPr>
    </w:p>
    <w:p>
      <w:pPr>
        <w:ind w:left="960" w:right="340" w:hanging="480"/>
        <w:spacing w:after="0" w:line="243" w:lineRule="auto"/>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labeling or product insert requirements of the FDA, the EMA or other regulatory authorities, including any limitations or warnings contained in a product’s approved labeling;</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convenience and ease of administration;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marketing and distribution support;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of third-party coverage and sufficiency of reimbursement;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177" w:lineRule="exact"/>
        <w:rPr>
          <w:sz w:val="20"/>
          <w:szCs w:val="20"/>
          <w:color w:val="auto"/>
        </w:rPr>
      </w:pPr>
    </w:p>
    <w:p>
      <w:pPr>
        <w:ind w:right="360" w:firstLine="480"/>
        <w:spacing w:after="0" w:line="243" w:lineRule="auto"/>
        <w:rPr>
          <w:sz w:val="20"/>
          <w:szCs w:val="20"/>
          <w:color w:val="auto"/>
        </w:rPr>
      </w:pPr>
      <w:r>
        <w:rPr>
          <w:rFonts w:ascii="Times New Roman" w:cs="Times New Roman" w:eastAsia="Times New Roman" w:hAnsi="Times New Roman"/>
          <w:sz w:val="20"/>
          <w:szCs w:val="20"/>
          <w:color w:val="auto"/>
        </w:rPr>
        <w:t>Even if a product candidate is approved, such product may not achieve an adequate level of acceptance, we may not generate significant product revenues, and we may not become profitable.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948" w:right="1440" w:bottom="348" w:gutter="0" w:footer="0" w:header="0"/>
          <w:type w:val="continuous"/>
        </w:sectPr>
      </w:pPr>
    </w:p>
    <w:bookmarkStart w:id="45" w:name="page46"/>
    <w:bookmarkEnd w:id="45"/>
    <w:p>
      <w:pPr>
        <w:ind w:right="1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effective marketing and sales capabilities or enter into agreements with third parties to market and sell our product candidates, if approved, we may not be able to effectively market and sell our product candidates, if approved, or generate product revenues.</w:t>
      </w:r>
    </w:p>
    <w:p>
      <w:pPr>
        <w:spacing w:after="0" w:line="173" w:lineRule="exact"/>
        <w:rPr>
          <w:sz w:val="20"/>
          <w:szCs w:val="20"/>
          <w:color w:val="auto"/>
        </w:rPr>
      </w:pPr>
    </w:p>
    <w:p>
      <w:pPr>
        <w:ind w:right="180" w:firstLine="480"/>
        <w:spacing w:after="0" w:line="249" w:lineRule="auto"/>
        <w:rPr>
          <w:sz w:val="20"/>
          <w:szCs w:val="20"/>
          <w:color w:val="auto"/>
        </w:rPr>
      </w:pPr>
      <w:r>
        <w:rPr>
          <w:rFonts w:ascii="Times New Roman" w:cs="Times New Roman" w:eastAsia="Times New Roman" w:hAnsi="Times New Roman"/>
          <w:sz w:val="20"/>
          <w:szCs w:val="20"/>
          <w:color w:val="auto"/>
        </w:rPr>
        <w:t>We have limited marketing capabilities and limited experience in the sale, marketing or distribution of pharmaceutical products. In addition, we do not have a large sales, promotion and marketing budget. As a result of our limited marketing capabilities,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Factors that may inhibit our efforts to commercialize our product candidates on our own include:</w:t>
      </w:r>
    </w:p>
    <w:p>
      <w:pPr>
        <w:spacing w:after="0" w:line="177" w:lineRule="exact"/>
        <w:rPr>
          <w:sz w:val="20"/>
          <w:szCs w:val="20"/>
          <w:color w:val="auto"/>
        </w:rPr>
      </w:pPr>
    </w:p>
    <w:p>
      <w:pPr>
        <w:ind w:left="960" w:right="640" w:hanging="480"/>
        <w:spacing w:after="0" w:line="243" w:lineRule="auto"/>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recruit and retain adequate numbers of effective sales, marketing, reimbursement, customer service, medical affairs and other support personnel;</w:t>
      </w:r>
    </w:p>
    <w:p>
      <w:pPr>
        <w:spacing w:after="0" w:line="174" w:lineRule="exact"/>
        <w:rPr>
          <w:rFonts w:ascii="Times New Roman" w:cs="Times New Roman" w:eastAsia="Times New Roman" w:hAnsi="Times New Roman"/>
          <w:sz w:val="20"/>
          <w:szCs w:val="20"/>
          <w:color w:val="auto"/>
        </w:rPr>
      </w:pPr>
    </w:p>
    <w:p>
      <w:pPr>
        <w:ind w:left="960" w:right="60" w:hanging="480"/>
        <w:spacing w:after="0" w:line="243" w:lineRule="auto"/>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sales personnel to obtain access to physicians or educate adequate numbers of physicians on the benefits of prescribing any future products;</w:t>
      </w:r>
    </w:p>
    <w:p>
      <w:pPr>
        <w:spacing w:after="0" w:line="174" w:lineRule="exact"/>
        <w:rPr>
          <w:rFonts w:ascii="Times New Roman" w:cs="Times New Roman" w:eastAsia="Times New Roman" w:hAnsi="Times New Roman"/>
          <w:sz w:val="20"/>
          <w:szCs w:val="20"/>
          <w:color w:val="auto"/>
        </w:rPr>
      </w:pPr>
    </w:p>
    <w:p>
      <w:pPr>
        <w:ind w:left="960" w:right="1000" w:hanging="480"/>
        <w:spacing w:after="0" w:line="243" w:lineRule="auto"/>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reimbursement professionals to negotiate arrangements for formulary access, reimbursement and other acceptance by payors;</w:t>
      </w:r>
    </w:p>
    <w:p>
      <w:pPr>
        <w:spacing w:after="0" w:line="174" w:lineRule="exact"/>
        <w:rPr>
          <w:rFonts w:ascii="Times New Roman" w:cs="Times New Roman" w:eastAsia="Times New Roman" w:hAnsi="Times New Roman"/>
          <w:sz w:val="20"/>
          <w:szCs w:val="20"/>
          <w:color w:val="auto"/>
        </w:rPr>
      </w:pPr>
    </w:p>
    <w:p>
      <w:pPr>
        <w:ind w:left="960" w:right="380" w:hanging="480"/>
        <w:spacing w:after="0" w:line="243" w:lineRule="auto"/>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or closed distribution channels that make it difficult to distribute our product candidates to segments of the patient population;</w:t>
      </w:r>
    </w:p>
    <w:p>
      <w:pPr>
        <w:spacing w:after="0" w:line="174" w:lineRule="exact"/>
        <w:rPr>
          <w:rFonts w:ascii="Times New Roman" w:cs="Times New Roman" w:eastAsia="Times New Roman" w:hAnsi="Times New Roman"/>
          <w:sz w:val="20"/>
          <w:szCs w:val="20"/>
          <w:color w:val="auto"/>
        </w:rPr>
      </w:pPr>
    </w:p>
    <w:p>
      <w:pPr>
        <w:ind w:left="960" w:right="120" w:hanging="480"/>
        <w:spacing w:after="0" w:line="243" w:lineRule="auto"/>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costs and expenses associated with creating an independent commercialization organization.</w:t>
      </w:r>
    </w:p>
    <w:p>
      <w:pPr>
        <w:spacing w:after="0" w:line="177" w:lineRule="exact"/>
        <w:rPr>
          <w:sz w:val="20"/>
          <w:szCs w:val="20"/>
          <w:color w:val="auto"/>
        </w:rPr>
      </w:pPr>
    </w:p>
    <w:p>
      <w:pPr>
        <w:ind w:right="180" w:firstLine="480"/>
        <w:spacing w:after="0" w:line="248" w:lineRule="auto"/>
        <w:rPr>
          <w:sz w:val="20"/>
          <w:szCs w:val="20"/>
          <w:color w:val="auto"/>
        </w:rPr>
      </w:pPr>
      <w:r>
        <w:rPr>
          <w:rFonts w:ascii="Times New Roman" w:cs="Times New Roman" w:eastAsia="Times New Roman" w:hAnsi="Times New Roman"/>
          <w:sz w:val="20"/>
          <w:szCs w:val="20"/>
          <w:color w:val="auto"/>
        </w:rPr>
        <w:t>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w:t>
      </w:r>
    </w:p>
    <w:p>
      <w:pPr>
        <w:spacing w:after="0" w:line="254"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w:t>
      </w:r>
    </w:p>
    <w:p>
      <w:pPr>
        <w:spacing w:after="0" w:line="171" w:lineRule="exact"/>
        <w:rPr>
          <w:sz w:val="20"/>
          <w:szCs w:val="20"/>
          <w:color w:val="auto"/>
        </w:rPr>
      </w:pPr>
    </w:p>
    <w:p>
      <w:pPr>
        <w:ind w:right="140" w:firstLine="480"/>
        <w:spacing w:after="0" w:line="263" w:lineRule="auto"/>
        <w:rPr>
          <w:sz w:val="20"/>
          <w:szCs w:val="20"/>
          <w:color w:val="auto"/>
        </w:rPr>
      </w:pPr>
      <w:r>
        <w:rPr>
          <w:rFonts w:ascii="Times New Roman" w:cs="Times New Roman" w:eastAsia="Times New Roman" w:hAnsi="Times New Roman"/>
          <w:sz w:val="19"/>
          <w:szCs w:val="19"/>
          <w:color w:val="auto"/>
        </w:rPr>
        <w:t>The development and commercialization of new drug and biologic products is highly competitive. Moreover, the biotechnology field generally is characterized by rapidly changing technologies, significant competition and a strong emphasis on intellectual property. We will face competition with respect to briquilimab and any other product candidates that we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w:t>
      </w:r>
    </w:p>
    <w:p>
      <w:pPr>
        <w:spacing w:after="0" w:line="4" w:lineRule="exact"/>
        <w:rPr>
          <w:sz w:val="20"/>
          <w:szCs w:val="20"/>
          <w:color w:val="auto"/>
        </w:rPr>
      </w:pPr>
    </w:p>
    <w:p>
      <w:pPr>
        <w:ind w:right="560"/>
        <w:spacing w:after="0" w:line="243" w:lineRule="auto"/>
        <w:rPr>
          <w:sz w:val="20"/>
          <w:szCs w:val="20"/>
          <w:color w:val="auto"/>
        </w:rPr>
      </w:pPr>
      <w:r>
        <w:rPr>
          <w:rFonts w:ascii="Times New Roman" w:cs="Times New Roman" w:eastAsia="Times New Roman" w:hAnsi="Times New Roman"/>
          <w:sz w:val="20"/>
          <w:szCs w:val="20"/>
          <w:color w:val="auto"/>
        </w:rPr>
        <w:t>seek patent protection and establish collaborative arrangements for research, development, manufacturing and commercialization.</w:t>
      </w:r>
    </w:p>
    <w:p>
      <w:pPr>
        <w:spacing w:after="0" w:line="174"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There are a number of large pharmaceutical and biotechnology companies that currently market and sell products or are pursuing the development of products for the treatment of the disease indications for which we have product candidates and research programs. Some of these competitive products and therapies are based on scientific approaches that are the same as or similar to our approach, and others are based on entirely different approaches. 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951" w:right="1440" w:bottom="348" w:gutter="0" w:footer="0" w:header="0"/>
          <w:type w:val="continuous"/>
        </w:sectPr>
      </w:pPr>
    </w:p>
    <w:bookmarkStart w:id="46" w:name="page47"/>
    <w:bookmarkEnd w:id="46"/>
    <w:p>
      <w:pPr>
        <w:jc w:val="both"/>
        <w:ind w:right="520" w:firstLine="480"/>
        <w:spacing w:after="0" w:line="263" w:lineRule="auto"/>
        <w:rPr>
          <w:sz w:val="20"/>
          <w:szCs w:val="20"/>
          <w:color w:val="auto"/>
        </w:rPr>
      </w:pPr>
      <w:r>
        <w:rPr>
          <w:rFonts w:ascii="Times New Roman" w:cs="Times New Roman" w:eastAsia="Times New Roman" w:hAnsi="Times New Roman"/>
          <w:sz w:val="19"/>
          <w:szCs w:val="19"/>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w:t>
      </w:r>
    </w:p>
    <w:p>
      <w:pPr>
        <w:spacing w:after="0" w:line="2"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our product candidates or that would render our product candidates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against competitors.</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Competitors of briquilimab include the following:</w:t>
      </w:r>
    </w:p>
    <w:p>
      <w:pPr>
        <w:spacing w:after="0" w:line="177" w:lineRule="exact"/>
        <w:rPr>
          <w:sz w:val="20"/>
          <w:szCs w:val="20"/>
          <w:color w:val="auto"/>
        </w:rPr>
      </w:pPr>
    </w:p>
    <w:p>
      <w:pPr>
        <w:ind w:left="960" w:right="40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Celldex Therapeutics, Inc., which is developing an antibody to KIT that is being studied in mast cell diseases;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Blueprint Medicines which is developing a small molecule KIT inhibitor for mast cell diseases;</w:t>
      </w:r>
    </w:p>
    <w:p>
      <w:pPr>
        <w:spacing w:after="0" w:line="176" w:lineRule="exact"/>
        <w:rPr>
          <w:rFonts w:ascii="Times New Roman" w:cs="Times New Roman" w:eastAsia="Times New Roman" w:hAnsi="Times New Roman"/>
          <w:sz w:val="20"/>
          <w:szCs w:val="20"/>
          <w:color w:val="auto"/>
        </w:rPr>
      </w:pPr>
    </w:p>
    <w:p>
      <w:pPr>
        <w:ind w:left="960" w:right="16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Novartis, Inc., which is developing a small molecule inhibitor to Bruton’s Tyrosine Kinase for mast cell diseases;</w:t>
      </w:r>
    </w:p>
    <w:p>
      <w:pPr>
        <w:spacing w:after="0" w:line="174" w:lineRule="exact"/>
        <w:rPr>
          <w:rFonts w:ascii="Times New Roman" w:cs="Times New Roman" w:eastAsia="Times New Roman" w:hAnsi="Times New Roman"/>
          <w:sz w:val="20"/>
          <w:szCs w:val="20"/>
          <w:color w:val="auto"/>
        </w:rPr>
      </w:pPr>
    </w:p>
    <w:p>
      <w:pPr>
        <w:ind w:left="960" w:right="32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Sanofi Aventis, Inc., which is developing an antibody to the Interleukin 4 receptor alpha for mast cell diseases;</w:t>
      </w:r>
    </w:p>
    <w:p>
      <w:pPr>
        <w:spacing w:after="0" w:line="174" w:lineRule="exact"/>
        <w:rPr>
          <w:rFonts w:ascii="Times New Roman" w:cs="Times New Roman" w:eastAsia="Times New Roman" w:hAnsi="Times New Roman"/>
          <w:sz w:val="20"/>
          <w:szCs w:val="20"/>
          <w:color w:val="auto"/>
        </w:rPr>
      </w:pPr>
    </w:p>
    <w:p>
      <w:pPr>
        <w:ind w:left="960" w:right="340" w:hanging="480"/>
        <w:spacing w:after="0" w:line="243" w:lineRule="auto"/>
        <w:tabs>
          <w:tab w:leader="none" w:pos="9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Evommune, Inc., which is developing a small-molecule antagonist of MRGPRX2 in mast cell driven diseases.</w:t>
      </w:r>
    </w:p>
    <w:p>
      <w:pPr>
        <w:spacing w:after="0" w:line="257"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our product candidates.</w:t>
      </w:r>
    </w:p>
    <w:p>
      <w:pPr>
        <w:spacing w:after="0" w:line="17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testing in human clinical trials of our product candidates and will face an even greater risk if we commercially sell any products that we may develop.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claims that our product candidates or products caused injuries, we could incur substantial liabilities or be required to limit commercialization of our product candidates. Even a successful defense would require significant financial and management resources. Regardless of merit or eventual outcome, liability claims may result in:</w:t>
      </w:r>
    </w:p>
    <w:p>
      <w:pPr>
        <w:spacing w:after="0" w:line="167" w:lineRule="exact"/>
        <w:rPr>
          <w:sz w:val="20"/>
          <w:szCs w:val="20"/>
          <w:color w:val="auto"/>
        </w:rPr>
      </w:pPr>
    </w:p>
    <w:p>
      <w:pPr>
        <w:ind w:left="960" w:hanging="480"/>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any products that we may develop;</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 candidates or products that we may develop;</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time and costs to defend the related litigation;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trial participants or patients;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948" w:right="1440" w:bottom="348" w:gutter="0" w:footer="0" w:header="0"/>
          <w:type w:val="continuous"/>
        </w:sectPr>
      </w:pPr>
    </w:p>
    <w:bookmarkStart w:id="47" w:name="page48"/>
    <w:bookmarkEnd w:id="47"/>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Although we maintain product liability insurance coverage, it may not be adequate to cover all liabilities that we may incur. We anticipate that we will need to increase our insurance coverage as we continue clinical trials and if we successfully commercializes any product. Insurance coverage is increasingly expensive. We may not be able to maintain insurance coverage at a reasonable cost or in an amount adequate to satisfy any liability that may arise.</w:t>
      </w:r>
    </w:p>
    <w:p>
      <w:pPr>
        <w:spacing w:after="0" w:line="252" w:lineRule="exact"/>
        <w:rPr>
          <w:sz w:val="20"/>
          <w:szCs w:val="20"/>
          <w:color w:val="auto"/>
        </w:rPr>
      </w:pPr>
    </w:p>
    <w:p>
      <w:pPr>
        <w:ind w:right="5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are complex and difficult to manufacture. We could experience delays in satisfying regulatory authorities or production problems that result in delays in our development or commercialization programs, limit the supply of our product candidates, or otherwise harm our business.</w:t>
      </w:r>
    </w:p>
    <w:p>
      <w:pPr>
        <w:spacing w:after="0" w:line="173"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Our product candidates require processing steps that are more complex than those required for most chemical and other biological pharmaceuticals.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clinical trials.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In addition, our product candidates will require complicated delivery modalities, such as electroporation, which will introduce additional complexities into the manufacturing process.</w:t>
      </w:r>
    </w:p>
    <w:p>
      <w:pPr>
        <w:spacing w:after="0" w:line="174" w:lineRule="exact"/>
        <w:rPr>
          <w:sz w:val="20"/>
          <w:szCs w:val="20"/>
          <w:color w:val="auto"/>
        </w:rPr>
      </w:pPr>
    </w:p>
    <w:p>
      <w:pPr>
        <w:ind w:right="180" w:firstLine="480"/>
        <w:spacing w:after="0" w:line="249" w:lineRule="auto"/>
        <w:rPr>
          <w:sz w:val="20"/>
          <w:szCs w:val="20"/>
          <w:color w:val="auto"/>
        </w:rPr>
      </w:pPr>
      <w:r>
        <w:rPr>
          <w:rFonts w:ascii="Times New Roman" w:cs="Times New Roman" w:eastAsia="Times New Roman" w:hAnsi="Times New Roman"/>
          <w:sz w:val="20"/>
          <w:szCs w:val="20"/>
          <w:color w:val="auto"/>
        </w:rPr>
        <w:t>In addition, the FDA, the EMA and other regulatory authorities may require us to submit samples of any lot of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70" w:lineRule="exact"/>
        <w:rPr>
          <w:sz w:val="20"/>
          <w:szCs w:val="20"/>
          <w:color w:val="auto"/>
        </w:rPr>
      </w:pPr>
    </w:p>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Moreover, the clinical development of our product candidates depends on the availability of certain materials and agents used in our clinical trials. Specifically, our clinical trial protocols for briquilimab-based conditioning include the administration of fludarabine, and the FDA recently reported a shortage of fludarabine. Any failure or delays by us or by our clinical sites to obtain sufficient quantities of fludarabine or other components and agents necessary for the conduct of our clinical trials, may delay our ability to enroll and treat patients in, or complete, our current or future clinical trials of our product candidates on time, if at all.</w:t>
      </w:r>
    </w:p>
    <w:p>
      <w:pPr>
        <w:spacing w:after="0" w:line="168"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harm our development timelines and our business, financial condition, results of operations and prospects.</w:t>
      </w:r>
    </w:p>
    <w:p>
      <w:pPr>
        <w:spacing w:after="0" w:line="25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or any contract research organizations, contract manufacturers or suppliers that we engage fail to comply with environmental, health and safety laws and regulations, we could become subject to fines or penalties or incur costs that could have a material adverse effect on the success of our business.</w:t>
      </w:r>
    </w:p>
    <w:p>
      <w:pPr>
        <w:spacing w:after="0" w:line="173"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We and any contract research organizations,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Although we believe that our and such third parties’ procedures for handling, storing and disposing of these materials and waste comply with legally prescribed standards, we cannot eliminate the risk of contamination or injury from these materials. In the event of contamination or injury resulting from our use of hazardous materials, we could be held liable for any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948" w:right="1440" w:bottom="348" w:gutter="0" w:footer="0" w:header="0"/>
          <w:type w:val="continuous"/>
        </w:sectPr>
      </w:pPr>
    </w:p>
    <w:bookmarkStart w:id="48" w:name="page49"/>
    <w:bookmarkEnd w:id="48"/>
    <w:p>
      <w:pPr>
        <w:ind w:right="40"/>
        <w:spacing w:after="0" w:line="246" w:lineRule="auto"/>
        <w:rPr>
          <w:sz w:val="20"/>
          <w:szCs w:val="20"/>
          <w:color w:val="auto"/>
        </w:rPr>
      </w:pPr>
      <w:r>
        <w:rPr>
          <w:rFonts w:ascii="Times New Roman" w:cs="Times New Roman" w:eastAsia="Times New Roman" w:hAnsi="Times New Roman"/>
          <w:sz w:val="20"/>
          <w:szCs w:val="20"/>
          <w:color w:val="auto"/>
        </w:rPr>
        <w:t>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73"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Compliance with applicable environmental laws and regulations may be expensive, and current or future environmental laws and regulations may impair our product development and research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75"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68" w:lineRule="exact"/>
        <w:rPr>
          <w:sz w:val="20"/>
          <w:szCs w:val="20"/>
          <w:color w:val="auto"/>
        </w:rPr>
      </w:pPr>
    </w:p>
    <w:p>
      <w:pPr>
        <w:ind w:right="260" w:firstLine="480"/>
        <w:spacing w:after="0" w:line="248" w:lineRule="auto"/>
        <w:rPr>
          <w:sz w:val="20"/>
          <w:szCs w:val="20"/>
          <w:color w:val="auto"/>
        </w:rPr>
      </w:pPr>
      <w:r>
        <w:rPr>
          <w:rFonts w:ascii="Times New Roman" w:cs="Times New Roman" w:eastAsia="Times New Roman" w:hAnsi="Times New Roman"/>
          <w:sz w:val="20"/>
          <w:szCs w:val="20"/>
          <w:color w:val="auto"/>
        </w:rPr>
        <w:t>Any third-party contract research organizations,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Review</w:t>
      </w:r>
    </w:p>
    <w:p>
      <w:pPr>
        <w:spacing w:after="0" w:line="259"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w:t>
      </w:r>
    </w:p>
    <w:p>
      <w:pPr>
        <w:spacing w:after="0" w:line="1"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20"/>
          <w:szCs w:val="20"/>
          <w:b w:val="1"/>
          <w:bCs w:val="1"/>
          <w:i w:val="1"/>
          <w:iCs w:val="1"/>
          <w:color w:val="auto"/>
        </w:rPr>
        <w:t>in completing, or ultimately be unable to complete, the development and commercialization of such product candidates.</w:t>
      </w:r>
    </w:p>
    <w:p>
      <w:pPr>
        <w:spacing w:after="0" w:line="177" w:lineRule="exact"/>
        <w:rPr>
          <w:sz w:val="20"/>
          <w:szCs w:val="20"/>
          <w:color w:val="auto"/>
        </w:rPr>
      </w:pPr>
    </w:p>
    <w:p>
      <w:pPr>
        <w:ind w:right="160" w:firstLine="480"/>
        <w:spacing w:after="0" w:line="263" w:lineRule="auto"/>
        <w:rPr>
          <w:sz w:val="20"/>
          <w:szCs w:val="20"/>
          <w:color w:val="auto"/>
        </w:rPr>
      </w:pPr>
      <w:r>
        <w:rPr>
          <w:rFonts w:ascii="Times New Roman" w:cs="Times New Roman" w:eastAsia="Times New Roman" w:hAnsi="Times New Roman"/>
          <w:sz w:val="19"/>
          <w:szCs w:val="19"/>
          <w:color w:val="auto"/>
        </w:rPr>
        <w:t>Before obtaining marketing approval from regulatory authorities for the sale of briquilimab and any other product candidates we identify and develop, we must complete preclinical development and then conduct extensive clinical trials to demonstrate the safety and efficacy of such product candidates in humans. Clinical testing is expensive, difficult to design and implement, can take many years to complete and is uncertain as to outcome.</w:t>
      </w:r>
    </w:p>
    <w:p>
      <w:pPr>
        <w:spacing w:after="0" w:line="2"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A failure of one or more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68" w:lineRule="exact"/>
        <w:rPr>
          <w:sz w:val="20"/>
          <w:szCs w:val="20"/>
          <w:color w:val="auto"/>
        </w:rPr>
      </w:pPr>
    </w:p>
    <w:p>
      <w:pPr>
        <w:jc w:val="both"/>
        <w:ind w:right="60" w:firstLine="480"/>
        <w:spacing w:after="0" w:line="246" w:lineRule="auto"/>
        <w:rPr>
          <w:sz w:val="20"/>
          <w:szCs w:val="20"/>
          <w:color w:val="auto"/>
        </w:rPr>
      </w:pPr>
      <w:r>
        <w:rPr>
          <w:rFonts w:ascii="Times New Roman" w:cs="Times New Roman" w:eastAsia="Times New Roman" w:hAnsi="Times New Roman"/>
          <w:sz w:val="20"/>
          <w:szCs w:val="20"/>
          <w:color w:val="auto"/>
        </w:rPr>
        <w:t>We and our collaborators, if any, may experience numerous unforeseen events during, or as a result of, clinical trials that could delay or prevent our ability to receive marketing approval or commercialize any product candidates, including:</w:t>
      </w:r>
    </w:p>
    <w:p>
      <w:pPr>
        <w:spacing w:after="0" w:line="166" w:lineRule="exact"/>
        <w:rPr>
          <w:sz w:val="20"/>
          <w:szCs w:val="20"/>
          <w:color w:val="auto"/>
        </w:rPr>
      </w:pPr>
    </w:p>
    <w:p>
      <w:pPr>
        <w:ind w:left="960" w:hanging="480"/>
        <w:spacing w:after="0"/>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a consensus with regulators on trial design;</w:t>
      </w:r>
    </w:p>
    <w:p>
      <w:pPr>
        <w:spacing w:after="0" w:line="176" w:lineRule="exact"/>
        <w:rPr>
          <w:rFonts w:ascii="Times New Roman" w:cs="Times New Roman" w:eastAsia="Times New Roman" w:hAnsi="Times New Roman"/>
          <w:sz w:val="20"/>
          <w:szCs w:val="20"/>
          <w:color w:val="auto"/>
        </w:rPr>
      </w:pPr>
    </w:p>
    <w:p>
      <w:pPr>
        <w:ind w:left="960" w:right="100" w:hanging="480"/>
        <w:spacing w:after="0" w:line="243" w:lineRule="auto"/>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IRBs, independent ethics committees or scientific review boards may not authorize us or our investigators to commence a clinical trial or conduct a clinical trial at a prospective trial site;</w:t>
      </w:r>
    </w:p>
    <w:p>
      <w:pPr>
        <w:spacing w:after="0" w:line="174" w:lineRule="exact"/>
        <w:rPr>
          <w:rFonts w:ascii="Times New Roman" w:cs="Times New Roman" w:eastAsia="Times New Roman" w:hAnsi="Times New Roman"/>
          <w:sz w:val="20"/>
          <w:szCs w:val="20"/>
          <w:color w:val="auto"/>
        </w:rPr>
      </w:pPr>
    </w:p>
    <w:p>
      <w:pPr>
        <w:ind w:left="960" w:right="440" w:hanging="480"/>
        <w:spacing w:after="0" w:line="243" w:lineRule="auto"/>
        <w:tabs>
          <w:tab w:leader="none" w:pos="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or failing to reach agreement on acceptable clinical trial contracts or clinical trial protocols with prospective CROs and clinical trial sites;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948" w:right="1440" w:bottom="348" w:gutter="0" w:footer="0" w:header="0"/>
          <w:type w:val="continuous"/>
        </w:sectPr>
      </w:pPr>
    </w:p>
    <w:bookmarkStart w:id="49" w:name="page50"/>
    <w:bookmarkEnd w:id="49"/>
    <w:p>
      <w:pPr>
        <w:ind w:left="960" w:right="280" w:hanging="480"/>
        <w:spacing w:after="0" w:line="246"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 of product candidates may produce negative or inconclusive results, and we may decide, or regulators may require us, to conduct additional clinical trials or abandon product development or research programs;</w:t>
      </w:r>
    </w:p>
    <w:p>
      <w:pPr>
        <w:spacing w:after="0" w:line="172" w:lineRule="exact"/>
        <w:rPr>
          <w:rFonts w:ascii="Times New Roman" w:cs="Times New Roman" w:eastAsia="Times New Roman" w:hAnsi="Times New Roman"/>
          <w:sz w:val="20"/>
          <w:szCs w:val="20"/>
          <w:color w:val="auto"/>
        </w:rPr>
      </w:pPr>
    </w:p>
    <w:p>
      <w:pPr>
        <w:ind w:left="960" w:right="200" w:hanging="480"/>
        <w:spacing w:after="0" w:line="268" w:lineRule="auto"/>
        <w:tabs>
          <w:tab w:leader="none" w:pos="96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difficulty in designing well-controlled clinical trials due to ethical considerations that may render it inappropriate to conduct a trial with a control arm that can be effectively compared to a treatment arm;</w:t>
      </w:r>
    </w:p>
    <w:p>
      <w:pPr>
        <w:spacing w:after="0" w:line="152" w:lineRule="exact"/>
        <w:rPr>
          <w:rFonts w:ascii="Times New Roman" w:cs="Times New Roman" w:eastAsia="Times New Roman" w:hAnsi="Times New Roman"/>
          <w:sz w:val="19"/>
          <w:szCs w:val="19"/>
          <w:color w:val="auto"/>
        </w:rPr>
      </w:pPr>
    </w:p>
    <w:p>
      <w:pPr>
        <w:ind w:left="960" w:right="80" w:hanging="480"/>
        <w:spacing w:after="0" w:line="243"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designing clinical trials and selecting endpoints for diseases that have not been well-studied and for which the natural history and course of the disease is poorly understood;</w:t>
      </w:r>
    </w:p>
    <w:p>
      <w:pPr>
        <w:spacing w:after="0" w:line="174" w:lineRule="exact"/>
        <w:rPr>
          <w:rFonts w:ascii="Times New Roman" w:cs="Times New Roman" w:eastAsia="Times New Roman" w:hAnsi="Times New Roman"/>
          <w:sz w:val="20"/>
          <w:szCs w:val="20"/>
          <w:color w:val="auto"/>
        </w:rPr>
      </w:pPr>
    </w:p>
    <w:p>
      <w:pPr>
        <w:ind w:left="960" w:right="160" w:hanging="480"/>
        <w:spacing w:after="0" w:line="248"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required for clinical trials of briquilimab and any other product candidates we may develop may be larger than we anticipate; enrollment of suitable participants in these clinical trials may be delayed or slower than we anticipate; or patients may drop out of these clinical trials at a higher rate than we anticipate;</w:t>
      </w:r>
    </w:p>
    <w:p>
      <w:pPr>
        <w:spacing w:after="0" w:line="169" w:lineRule="exact"/>
        <w:rPr>
          <w:rFonts w:ascii="Times New Roman" w:cs="Times New Roman" w:eastAsia="Times New Roman" w:hAnsi="Times New Roman"/>
          <w:sz w:val="20"/>
          <w:szCs w:val="20"/>
          <w:color w:val="auto"/>
        </w:rPr>
      </w:pPr>
    </w:p>
    <w:p>
      <w:pPr>
        <w:ind w:left="960" w:right="340" w:hanging="480"/>
        <w:spacing w:after="0" w:line="243"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contractors may fail to comply with regulatory requirements or meet their contractual obligations to us in a timely manner, or at all;</w:t>
      </w:r>
    </w:p>
    <w:p>
      <w:pPr>
        <w:spacing w:after="0" w:line="174" w:lineRule="exact"/>
        <w:rPr>
          <w:rFonts w:ascii="Times New Roman" w:cs="Times New Roman" w:eastAsia="Times New Roman" w:hAnsi="Times New Roman"/>
          <w:sz w:val="20"/>
          <w:szCs w:val="20"/>
          <w:color w:val="auto"/>
        </w:rPr>
      </w:pPr>
    </w:p>
    <w:p>
      <w:pPr>
        <w:ind w:left="960" w:hanging="480"/>
        <w:spacing w:after="0" w:line="248"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IRBs or independent ethics committees may require that we or our investigators suspend or terminate clinical research or clinical trials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65"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clinical trials may be greater than we anticipate;</w:t>
      </w:r>
    </w:p>
    <w:p>
      <w:pPr>
        <w:spacing w:after="0" w:line="176" w:lineRule="exact"/>
        <w:rPr>
          <w:rFonts w:ascii="Times New Roman" w:cs="Times New Roman" w:eastAsia="Times New Roman" w:hAnsi="Times New Roman"/>
          <w:sz w:val="20"/>
          <w:szCs w:val="20"/>
          <w:color w:val="auto"/>
        </w:rPr>
      </w:pPr>
    </w:p>
    <w:p>
      <w:pPr>
        <w:ind w:left="960" w:right="320" w:hanging="480"/>
        <w:spacing w:after="0" w:line="248"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supply or quality of product candidates or other materials necessary to conduct clinical trials may be insufficient or inadequate, including as a result of delays in the testing, validation, manufacturing and delivery of product candidates to the clinical sites by us or by third parties with whom we have contracted to perform certain of those functions;</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having patients complete participation in a trial or return for post-treatment follow-up;</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 sites dropping out of a trial;</w:t>
      </w:r>
    </w:p>
    <w:p>
      <w:pPr>
        <w:spacing w:after="0" w:line="176" w:lineRule="exact"/>
        <w:rPr>
          <w:rFonts w:ascii="Times New Roman" w:cs="Times New Roman" w:eastAsia="Times New Roman" w:hAnsi="Times New Roman"/>
          <w:sz w:val="20"/>
          <w:szCs w:val="20"/>
          <w:color w:val="auto"/>
        </w:rPr>
      </w:pPr>
    </w:p>
    <w:p>
      <w:pPr>
        <w:ind w:left="960" w:right="280" w:hanging="480"/>
        <w:spacing w:after="0" w:line="243"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selection of clinical endpoints that require prolonged periods of clinical observation or analysis of the resulting data;</w:t>
      </w:r>
    </w:p>
    <w:p>
      <w:pPr>
        <w:spacing w:after="0" w:line="174" w:lineRule="exact"/>
        <w:rPr>
          <w:rFonts w:ascii="Times New Roman" w:cs="Times New Roman" w:eastAsia="Times New Roman" w:hAnsi="Times New Roman"/>
          <w:sz w:val="20"/>
          <w:szCs w:val="20"/>
          <w:color w:val="auto"/>
        </w:rPr>
      </w:pPr>
    </w:p>
    <w:p>
      <w:pPr>
        <w:ind w:left="960" w:right="380" w:hanging="480"/>
        <w:spacing w:after="0" w:line="243"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occurrence of serious adverse events associated with product candidates that are viewed to outweigh their potential benefits;</w:t>
      </w:r>
    </w:p>
    <w:p>
      <w:pPr>
        <w:spacing w:after="0" w:line="174" w:lineRule="exact"/>
        <w:rPr>
          <w:rFonts w:ascii="Times New Roman" w:cs="Times New Roman" w:eastAsia="Times New Roman" w:hAnsi="Times New Roman"/>
          <w:sz w:val="20"/>
          <w:szCs w:val="20"/>
          <w:color w:val="auto"/>
        </w:rPr>
      </w:pPr>
    </w:p>
    <w:p>
      <w:pPr>
        <w:ind w:left="960" w:right="240" w:hanging="480"/>
        <w:spacing w:after="0" w:line="243"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occurrence of serious adverse events in trials of the same class of agents conducted by other sponsors; and</w:t>
      </w:r>
    </w:p>
    <w:p>
      <w:pPr>
        <w:spacing w:after="0" w:line="174" w:lineRule="exact"/>
        <w:rPr>
          <w:rFonts w:ascii="Times New Roman" w:cs="Times New Roman" w:eastAsia="Times New Roman" w:hAnsi="Times New Roman"/>
          <w:sz w:val="20"/>
          <w:szCs w:val="20"/>
          <w:color w:val="auto"/>
        </w:rPr>
      </w:pPr>
    </w:p>
    <w:p>
      <w:pPr>
        <w:ind w:left="960" w:right="520" w:hanging="480"/>
        <w:spacing w:after="0" w:line="243" w:lineRule="auto"/>
        <w:tabs>
          <w:tab w:leader="none" w:pos="9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regulatory requirements and guidance that require amending or submitting new clinical protocols.</w:t>
      </w:r>
    </w:p>
    <w:p>
      <w:pPr>
        <w:spacing w:after="0" w:line="174" w:lineRule="exact"/>
        <w:rPr>
          <w:sz w:val="20"/>
          <w:szCs w:val="20"/>
          <w:color w:val="auto"/>
        </w:rPr>
      </w:pPr>
    </w:p>
    <w:p>
      <w:pPr>
        <w:ind w:right="180" w:firstLine="480"/>
        <w:spacing w:after="0" w:line="248" w:lineRule="auto"/>
        <w:rPr>
          <w:sz w:val="20"/>
          <w:szCs w:val="20"/>
          <w:color w:val="auto"/>
        </w:rPr>
      </w:pPr>
      <w:r>
        <w:rPr>
          <w:rFonts w:ascii="Times New Roman" w:cs="Times New Roman" w:eastAsia="Times New Roman" w:hAnsi="Times New Roman"/>
          <w:sz w:val="20"/>
          <w:szCs w:val="20"/>
          <w:color w:val="auto"/>
        </w:rPr>
        <w:t>If we or our collaborators, if any, are required to conduct additional clinical trials or other testing of product candidates beyond those that we currently contemplate, if we or our collaborators are unable to successfully complete clinical trials or other testing of product candidates, or if the results of these trials or tests are not positive or are only modestly positive or if there are safety concerns, we or our collaborators may:</w:t>
      </w:r>
    </w:p>
    <w:p>
      <w:pPr>
        <w:spacing w:after="0" w:line="169" w:lineRule="exact"/>
        <w:rPr>
          <w:sz w:val="20"/>
          <w:szCs w:val="20"/>
          <w:color w:val="auto"/>
        </w:rPr>
      </w:pPr>
    </w:p>
    <w:p>
      <w:pPr>
        <w:ind w:left="960" w:right="420" w:hanging="480"/>
        <w:spacing w:after="0" w:line="243" w:lineRule="auto"/>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delayed in obtaining marketing approval for any such product candidates or not obtain marketing approval at all;</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176" w:lineRule="exact"/>
        <w:rPr>
          <w:rFonts w:ascii="Times New Roman" w:cs="Times New Roman" w:eastAsia="Times New Roman" w:hAnsi="Times New Roman"/>
          <w:sz w:val="20"/>
          <w:szCs w:val="20"/>
          <w:color w:val="auto"/>
        </w:rPr>
      </w:pPr>
    </w:p>
    <w:p>
      <w:pPr>
        <w:ind w:left="960" w:right="80" w:hanging="480"/>
        <w:spacing w:after="0" w:line="243" w:lineRule="auto"/>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with labeling that includes significant use or distribution restrictions or safety warnings, including boxed warnings;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changes in the way the product is administered;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948" w:right="1440" w:bottom="348" w:gutter="0" w:footer="0" w:header="0"/>
          <w:type w:val="continuous"/>
        </w:sectPr>
      </w:pPr>
    </w:p>
    <w:bookmarkStart w:id="50" w:name="page51"/>
    <w:bookmarkEnd w:id="50"/>
    <w:p>
      <w:pPr>
        <w:ind w:left="960" w:right="920" w:hanging="480"/>
        <w:spacing w:after="0" w:line="243" w:lineRule="auto"/>
        <w:tabs>
          <w:tab w:leader="none" w:pos="9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required to perform additional clinical trials to support approval or be subject to additional post-marketing testing requirements;</w:t>
      </w:r>
    </w:p>
    <w:p>
      <w:pPr>
        <w:spacing w:after="0" w:line="174" w:lineRule="exact"/>
        <w:rPr>
          <w:rFonts w:ascii="Times New Roman" w:cs="Times New Roman" w:eastAsia="Times New Roman" w:hAnsi="Times New Roman"/>
          <w:sz w:val="20"/>
          <w:szCs w:val="20"/>
          <w:color w:val="auto"/>
        </w:rPr>
      </w:pPr>
    </w:p>
    <w:p>
      <w:pPr>
        <w:ind w:left="960" w:right="440" w:hanging="480"/>
        <w:spacing w:after="0" w:line="246" w:lineRule="auto"/>
        <w:tabs>
          <w:tab w:leader="none" w:pos="9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regulatory authorities withdraw or suspend their approval of the product or impose restrictions on its distribution in the form of a Risk Evaluation and Mitigation Strategy (“REMS”) or through modification to an existing REMS;</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sued; or</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damage to our reputation.</w:t>
      </w:r>
    </w:p>
    <w:p>
      <w:pPr>
        <w:spacing w:after="0" w:line="177" w:lineRule="exact"/>
        <w:rPr>
          <w:sz w:val="20"/>
          <w:szCs w:val="20"/>
          <w:color w:val="auto"/>
        </w:rPr>
      </w:pPr>
    </w:p>
    <w:p>
      <w:pPr>
        <w:ind w:right="40" w:firstLine="480"/>
        <w:spacing w:after="0" w:line="264" w:lineRule="auto"/>
        <w:rPr>
          <w:sz w:val="20"/>
          <w:szCs w:val="20"/>
          <w:color w:val="auto"/>
        </w:rPr>
      </w:pPr>
      <w:r>
        <w:rPr>
          <w:rFonts w:ascii="Times New Roman" w:cs="Times New Roman" w:eastAsia="Times New Roman" w:hAnsi="Times New Roman"/>
          <w:sz w:val="19"/>
          <w:szCs w:val="19"/>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product candidates, could allow our competitors to bring products to market before we do and could impair our ability to successfully commercialize product candidates, any of which may harm our business, financial condition, results of operations and prospects.</w:t>
      </w:r>
    </w:p>
    <w:p>
      <w:pPr>
        <w:spacing w:after="0" w:line="158"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Further, disruptions at the FDA and other agencies may prolong the time necessary for new drugs to be reviewed and/or approved by necessary government agencies, which would adversely affect our business. For example, over the last several years, the U.S. government has shut down several times and certain regulatory agencies, including the FDA, have furloughed critical employees and stopped critical activities. If a prolonged government shutdown occurs, it could significantly impact the ability of the FDA to timely review and process our regulatory submissions, which could have a material adverse effect on our business.</w:t>
      </w:r>
    </w:p>
    <w:p>
      <w:pPr>
        <w:spacing w:after="0" w:line="25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Failure to obtain marketing approval in foreign jurisdictions would prevent any product candidates we develop from being marketed in such jurisdictions, which, in turn, would materially impair our ability to generate revenue.</w:t>
      </w:r>
    </w:p>
    <w:p>
      <w:pPr>
        <w:spacing w:after="0" w:line="155"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In order to market and sell any product candidates we develop in the European Union and many other foreign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our collaborators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 candidates in any jurisdiction, which would materially impair our ability to generate revenue.</w:t>
      </w:r>
    </w:p>
    <w:p>
      <w:pPr>
        <w:spacing w:after="0" w:line="178"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Additionally, we could face heightened risks with respect to seeking marketing approval in the United Kingdom as a result of the recent withdrawal of the United Kingdom from the European Union on December 31, 2020, commonly referred to as Brexit. Pursuant to the formal withdrawal arrangements agreed between the United Kingdom and the European Union, the United Kingdom withdrew from the European Union, effective December 31, 2020. On December 24, 2020, the United Kingdom and European Union entered into a Trade and Cooperation Agreement. The agreement sets out certain procedures for approval and recognition of medical products in each jurisdiction.</w:t>
      </w:r>
    </w:p>
    <w:p>
      <w:pPr>
        <w:spacing w:after="0" w:line="170" w:lineRule="exact"/>
        <w:rPr>
          <w:sz w:val="20"/>
          <w:szCs w:val="20"/>
          <w:color w:val="auto"/>
        </w:rPr>
      </w:pPr>
    </w:p>
    <w:p>
      <w:pPr>
        <w:ind w:right="120" w:firstLine="480"/>
        <w:spacing w:after="0" w:line="264" w:lineRule="auto"/>
        <w:rPr>
          <w:sz w:val="20"/>
          <w:szCs w:val="20"/>
          <w:color w:val="auto"/>
        </w:rPr>
      </w:pPr>
      <w:r>
        <w:rPr>
          <w:rFonts w:ascii="Times New Roman" w:cs="Times New Roman" w:eastAsia="Times New Roman" w:hAnsi="Times New Roman"/>
          <w:sz w:val="19"/>
          <w:szCs w:val="19"/>
          <w:color w:val="auto"/>
        </w:rPr>
        <w:t>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would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the European Union for any product candidates, which could significantly and materially harm our business.</w:t>
      </w:r>
    </w:p>
    <w:p>
      <w:pPr>
        <w:sectPr>
          <w:pgSz w:w="12240" w:h="15840" w:orient="portrait"/>
          <w:cols w:equalWidth="0" w:num="1">
            <w:col w:w="9360"/>
          </w:cols>
          <w:pgMar w:left="1440" w:top="948" w:right="1440" w:bottom="348" w:gutter="0" w:footer="0" w:header="0"/>
        </w:sect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948" w:right="1440" w:bottom="348" w:gutter="0" w:footer="0" w:header="0"/>
          <w:type w:val="continuous"/>
        </w:sectPr>
      </w:pPr>
    </w:p>
    <w:bookmarkStart w:id="51" w:name="page52"/>
    <w:bookmarkEnd w:id="51"/>
    <w:p>
      <w:pPr>
        <w:ind w:right="6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and comparable foreign regulatory authorities are lengthy, time-consuming and inherently unpredictable, and if we are ultimately unable to obtain regulatory approval for our product candidates, our business, financial condition and results of operations will be substantially harmed. Even if we complete the necessary clinical trials, we cannot predict when, or if, we will obtain regulatory approval to commercialize our product candidates in the United States or any other jurisdiction, and any such approval may be for a more narrow indication than we seek.</w:t>
      </w:r>
    </w:p>
    <w:p>
      <w:pPr>
        <w:spacing w:after="0" w:line="172" w:lineRule="exact"/>
        <w:rPr>
          <w:sz w:val="20"/>
          <w:szCs w:val="20"/>
          <w:color w:val="auto"/>
        </w:rPr>
      </w:pPr>
    </w:p>
    <w:p>
      <w:pPr>
        <w:ind w:right="220" w:firstLine="480"/>
        <w:spacing w:after="0" w:line="249" w:lineRule="auto"/>
        <w:rPr>
          <w:sz w:val="20"/>
          <w:szCs w:val="20"/>
          <w:color w:val="auto"/>
        </w:rPr>
      </w:pPr>
      <w:r>
        <w:rPr>
          <w:rFonts w:ascii="Times New Roman" w:cs="Times New Roman" w:eastAsia="Times New Roman" w:hAnsi="Times New Roman"/>
          <w:sz w:val="20"/>
          <w:szCs w:val="20"/>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The time required to obtain marketing approval from the FDA or comparable foreign regulatory authorities for a product candidate is unpredictable but typically takes many years following the commencement of clinical trials and depends upon numerous factors, including the substantial discretion of the regulatory authorities, and its outcome is inherently uncertain.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75" w:lineRule="exact"/>
        <w:rPr>
          <w:sz w:val="20"/>
          <w:szCs w:val="20"/>
          <w:color w:val="auto"/>
        </w:rPr>
      </w:pPr>
    </w:p>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w:t>
      </w:r>
    </w:p>
    <w:p>
      <w:pPr>
        <w:spacing w:after="0" w:line="171"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Marketing approval by the FDA in the United States, if obtained, does not ensure approval by regulatory authorities in other countries or jurisdictions, while a failure or delay in obtaining regulatory approval in one jurisdiction may have a negative effect on the regulatory approval process in others.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264"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of any of our product candidates, the approved products may be subject to post-approval studies and will remain subject to ongoing regulatory requirements. If we fail to comply, or if concerns are identified in subsequent studies, our approval could be withdrawn, and our product sales could be suspended.</w:t>
      </w:r>
    </w:p>
    <w:p>
      <w:pPr>
        <w:spacing w:after="0" w:line="171" w:lineRule="exact"/>
        <w:rPr>
          <w:sz w:val="20"/>
          <w:szCs w:val="20"/>
          <w:color w:val="auto"/>
        </w:rPr>
      </w:pPr>
    </w:p>
    <w:p>
      <w:pPr>
        <w:ind w:right="220" w:firstLine="480"/>
        <w:spacing w:after="0" w:line="264" w:lineRule="auto"/>
        <w:rPr>
          <w:sz w:val="20"/>
          <w:szCs w:val="20"/>
          <w:color w:val="auto"/>
        </w:rPr>
      </w:pPr>
      <w:r>
        <w:rPr>
          <w:rFonts w:ascii="Times New Roman" w:cs="Times New Roman" w:eastAsia="Times New Roman" w:hAnsi="Times New Roman"/>
          <w:sz w:val="19"/>
          <w:szCs w:val="19"/>
          <w:color w:val="auto"/>
        </w:rPr>
        <w:t>If we are successful at obtaining regulatory approval for briquilimab or any of our other product candidates, regulatory agencies in the U.S. and other countries where a product will be sold may require extensive additional clinical trials or post-approval clinical trials that are expensive and time-consuming to conduct. These studies may be expensive and time-consuming to conduct and may reveal side effects or other harmful effects in patients that use our therapeutic products after they are on the market, which may result in the limitation or withdrawal of our drugs from the market. Alternatively, we may not be able to conduct such additional trials, which might force us to abandon our efforts to develop or commercialize certain product candidates. Even if post-approval studies are not</w:t>
      </w:r>
    </w:p>
    <w:p>
      <w:pPr>
        <w:sectPr>
          <w:pgSz w:w="12240" w:h="15840" w:orient="portrait"/>
          <w:cols w:equalWidth="0" w:num="1">
            <w:col w:w="9360"/>
          </w:cols>
          <w:pgMar w:left="1440" w:top="95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951" w:right="1440" w:bottom="348" w:gutter="0" w:footer="0" w:header="0"/>
          <w:type w:val="continuous"/>
        </w:sectPr>
      </w:pPr>
    </w:p>
    <w:bookmarkStart w:id="52" w:name="page53"/>
    <w:bookmarkEnd w:id="52"/>
    <w:p>
      <w:pPr>
        <w:spacing w:after="0" w:line="248" w:lineRule="auto"/>
        <w:rPr>
          <w:sz w:val="20"/>
          <w:szCs w:val="20"/>
          <w:color w:val="auto"/>
        </w:rPr>
      </w:pPr>
      <w:r>
        <w:rPr>
          <w:rFonts w:ascii="Times New Roman" w:cs="Times New Roman" w:eastAsia="Times New Roman" w:hAnsi="Times New Roman"/>
          <w:sz w:val="20"/>
          <w:szCs w:val="20"/>
          <w:color w:val="auto"/>
        </w:rPr>
        <w:t>requested or required, after our products are approved and are on the market, there might be safety issues that emerge over time that require a change in product labeling, additional post-market studies or clinical trials, imposition of distribution and use restrictions under a REMS or withdrawal of the product from the market, which would cause our revenue to decline.</w:t>
      </w:r>
    </w:p>
    <w:p>
      <w:pPr>
        <w:spacing w:after="0" w:line="169"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Additionally, any products that we may successfully develop will be subject to ongoing regulatory requirements after they are approved. These requirements will govern the manufacturing, packaging, marketing, distribution, and use of our products. If we fail to comply with such regulatory requirements, approval for our products may be withdrawn, and product sales may be suspended. We may not be able to regain compliance, or we may only be able to regain compliance after a lengthy delay, significant expense, lost revenues and/or damage to our reputation.</w:t>
      </w:r>
    </w:p>
    <w:p>
      <w:pPr>
        <w:spacing w:after="0" w:line="168"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recent U.S. administrations have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There remains substantial uncertainty as to how the current U.S. administration will seek or continue to modify or revise the requirements and policies of the FDA and other regulatory agencies with jurisdiction over our product candidates. State governments may also attempt to address or react to changes at the federal level with changes to their own regulatory frameworks in a manner that is adverse to our operations. This uncertainty could present new challenges or potential opportunities as we navigate the clinical development and approval process for our product candidates. If these executive actions impose constraints on FDA’s ability to engage in oversight and implementation activities in the normal course, our business, financial condition and results of operations may be negatively affected.</w:t>
      </w:r>
    </w:p>
    <w:p>
      <w:pPr>
        <w:spacing w:after="0" w:line="180"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laws or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ability to generate revenue and achieve or sustain profitability. Changes in law or government regulations may also alter the competitive landscape, potentially to our disadvantage.</w:t>
      </w:r>
    </w:p>
    <w:p>
      <w:pPr>
        <w:spacing w:after="0" w:line="168"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In addition, three decisions from the U.S. Supreme Court in June and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a regulatory agency’s ability to impose civil penalties in administrative proceedings. The third decision extended the statute of limitations within which entities may challenge agency actions. These cases may result in increased litigation by industry against regulatory agencies and impact how such agencies choose to pursue enforcement and compliance actions. However, the specific, lasting effects of these decisions, which may vary within different judicial districts and circuits, is unknown. We also cannot predict the extent to which FDA and other agency regulations, policies, and decisions may become subject to increasing legal challenges, delays and changes.</w:t>
      </w:r>
    </w:p>
    <w:p>
      <w:pPr>
        <w:spacing w:after="0" w:line="257" w:lineRule="exact"/>
        <w:rPr>
          <w:sz w:val="20"/>
          <w:szCs w:val="20"/>
          <w:color w:val="auto"/>
        </w:rPr>
      </w:pPr>
    </w:p>
    <w:p>
      <w:pPr>
        <w:jc w:val="both"/>
        <w:ind w:right="1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results from our clinical trials that we may announce or publish from time to time may change as more patient data become available and are subject to audit and verification procedures that could result in material changes in the final data.</w:t>
      </w:r>
    </w:p>
    <w:p>
      <w:pPr>
        <w:spacing w:after="0" w:line="173" w:lineRule="exact"/>
        <w:rPr>
          <w:sz w:val="20"/>
          <w:szCs w:val="20"/>
          <w:color w:val="auto"/>
        </w:rPr>
      </w:pPr>
    </w:p>
    <w:p>
      <w:pPr>
        <w:ind w:right="200" w:firstLine="480"/>
        <w:spacing w:after="0" w:line="264" w:lineRule="auto"/>
        <w:rPr>
          <w:sz w:val="20"/>
          <w:szCs w:val="20"/>
          <w:color w:val="auto"/>
        </w:rPr>
      </w:pPr>
      <w:r>
        <w:rPr>
          <w:rFonts w:ascii="Times New Roman" w:cs="Times New Roman" w:eastAsia="Times New Roman" w:hAnsi="Times New Roman"/>
          <w:sz w:val="19"/>
          <w:szCs w:val="19"/>
          <w:color w:val="auto"/>
        </w:rPr>
        <w:t>From time to time, we may publish interim top-line or preliminary results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In particular, we have announced, and may in the future announce, interim results from our ongoing clinical trials of briquilimab.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948" w:right="1440" w:bottom="348" w:gutter="0" w:footer="0" w:header="0"/>
          <w:type w:val="continuous"/>
        </w:sectPr>
      </w:pPr>
    </w:p>
    <w:bookmarkStart w:id="53" w:name="page54"/>
    <w:bookmarkEnd w:id="53"/>
    <w:p>
      <w:pPr>
        <w:ind w:right="40"/>
        <w:spacing w:after="0" w:line="248" w:lineRule="auto"/>
        <w:rPr>
          <w:sz w:val="20"/>
          <w:szCs w:val="20"/>
          <w:color w:val="auto"/>
        </w:rPr>
      </w:pPr>
      <w:r>
        <w:rPr>
          <w:rFonts w:ascii="Times New Roman" w:cs="Times New Roman" w:eastAsia="Times New Roman" w:hAnsi="Times New Roman"/>
          <w:sz w:val="20"/>
          <w:szCs w:val="20"/>
          <w:color w:val="auto"/>
        </w:rPr>
        <w:t>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69"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us in general. In addition, the information we choose to publicly disclose regarding a particular study or clinical trial is based on what is typically extensive information, investors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39" w:lineRule="exact"/>
        <w:rPr>
          <w:sz w:val="20"/>
          <w:szCs w:val="20"/>
          <w:color w:val="auto"/>
        </w:rPr>
      </w:pPr>
    </w:p>
    <w:p>
      <w:pPr>
        <w:jc w:val="both"/>
        <w:ind w:right="3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may seek Fast Track or other accelerated review designations for some or all of our product candidates. We may not receive such designation, and even for those product candidates for which we do, it may not lead to a faster development or regulatory review or approval process, and will not increase the likelihood that product candidates will receive marketing approval.</w:t>
      </w:r>
    </w:p>
    <w:p>
      <w:pPr>
        <w:spacing w:after="0" w:line="171"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We may seek Fast Track or other accelerated review designations for some or all of our other product candidates. If a drug or biologic is intended for the treatment of a serious or life-threatening condition or disease, and nonclinical or clinical data demonstrate the potential to address an unmet medical need, the product may qualify for FDA Fast Track designation, for which sponsors must apply. If granted, a Fast Track or other accelerated review designation makes a product candidate eligible for more frequent interactions with the FDA to discuss the development plan and clinical trial design, as well as rolling review of the application, which means that we can submit completed sections of our marketing application for review prior to completion of the entire submission. Marketing applications of product candidates with a Fast Track or other accelerated review designation may qualify for priority review under the policies and procedures offered by the FDA, but a Fast Track or other accelerated review designation does not assure any such qualification or ultimate marketing approval by the FDA. The FDA has broad discretion with respect to whether or not to grant this designation. Thus, even if we believe a particular product candidate is eligible for this designation, the FDA may decide not to grant it. Moreover, even if we do receive a Fast Track or another accelerated review designation, we or our collaborators may not experience a faster development process, review or approval compared to conventional FDA procedures. In addition, the FDA may withdraw a Fast Track or other accelerated review designation if it believes that the designation is no longer supported by data from our clinical development program.</w:t>
      </w:r>
    </w:p>
    <w:p>
      <w:pPr>
        <w:spacing w:after="0" w:line="265"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may seek priority review designation for our product candidates, but we might not receive such designation, and even if we do, such designation may not lead to a faster development or regulatory review or approval process.</w:t>
      </w:r>
    </w:p>
    <w:p>
      <w:pPr>
        <w:spacing w:after="0" w:line="173"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The FDA has broad discretion with respect</w:t>
      </w:r>
    </w:p>
    <w:p>
      <w:pPr>
        <w:spacing w:after="0" w:line="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72" w:lineRule="exact"/>
        <w:rPr>
          <w:sz w:val="20"/>
          <w:szCs w:val="20"/>
          <w:color w:val="auto"/>
        </w:rPr>
      </w:pPr>
    </w:p>
    <w:p>
      <w:pPr>
        <w:ind w:right="340" w:firstLine="480"/>
        <w:spacing w:after="0" w:line="263" w:lineRule="auto"/>
        <w:rPr>
          <w:sz w:val="20"/>
          <w:szCs w:val="20"/>
          <w:color w:val="auto"/>
        </w:rPr>
      </w:pPr>
      <w:r>
        <w:rPr>
          <w:rFonts w:ascii="Times New Roman" w:cs="Times New Roman" w:eastAsia="Times New Roman" w:hAnsi="Times New Roman"/>
          <w:sz w:val="19"/>
          <w:szCs w:val="19"/>
          <w:color w:val="auto"/>
        </w:rPr>
        <w:t>In addition, the FDA’s Rare Pediatric Disease Priority Review Voucher Program, or PRV Voucher Program, awards Priority Review Vouchers, or PRVs, to sponsors of rare pediatric product applications that meet certain criteria. Under the program, a company that receives an approval for a product for a rare pediatric disease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determined by the applicable regulations) may qualify for a PRV that can be redeemed to receive Priority Review</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948" w:right="1440" w:bottom="348" w:gutter="0" w:footer="0" w:header="0"/>
          <w:type w:val="continuous"/>
        </w:sectPr>
      </w:pPr>
    </w:p>
    <w:bookmarkStart w:id="54" w:name="page55"/>
    <w:bookmarkEnd w:id="54"/>
    <w:p>
      <w:pPr>
        <w:ind w:right="20"/>
        <w:spacing w:after="0" w:line="249" w:lineRule="auto"/>
        <w:rPr>
          <w:sz w:val="20"/>
          <w:szCs w:val="20"/>
          <w:color w:val="auto"/>
        </w:rPr>
      </w:pPr>
      <w:r>
        <w:rPr>
          <w:rFonts w:ascii="Times New Roman" w:cs="Times New Roman" w:eastAsia="Times New Roman" w:hAnsi="Times New Roman"/>
          <w:sz w:val="20"/>
          <w:szCs w:val="20"/>
          <w:color w:val="auto"/>
        </w:rPr>
        <w:t>of a subsequent marketing application for a different product. PRVs may also be sold by the company to third parties. Under the FDCA, a rare pediatric disease product application may be eligible for a rare pediatric disease priority review voucher if the drug receives marketing approval before September 30, 2029.The FDA has granted rare pediatric disease designation to briquilimab as a conditioning treatment for patients with SCID. In July 2025, we discontinued the SCID program and any remaining ISTs to focus our resources exclusively on our mast cell disease development portfolio. However, if our qualifying product candidate or another of our product candidates receives rare pediatric disease designation and is approved by the FDA after the current approval deadlines, we will not be eligible to receive a PRV for our product candidate and accordingly, we would be unable to use such PRV for Priority Review for another one of our programs or to sell such PRV, which sale has the potential to generate significant proceeds.</w:t>
      </w:r>
    </w:p>
    <w:p>
      <w:pPr>
        <w:spacing w:after="0" w:line="257"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73"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We may seek a Breakthrough Therapy Designation for our product candidates if the clinical data support such a designation for one or more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w:t>
      </w:r>
    </w:p>
    <w:p>
      <w:pPr>
        <w:spacing w:after="0" w:line="10"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20"/>
          <w:szCs w:val="20"/>
          <w:color w:val="auto"/>
        </w:rPr>
        <w:t>to identify the most efficient path for clinical development while minimizing the number of patients placed in ineffective control regimens. Drugs and biologics designated as breakthrough therapies by the FDA may also be eligible for accelerated approval.</w:t>
      </w:r>
    </w:p>
    <w:p>
      <w:pPr>
        <w:spacing w:after="0" w:line="173"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Designation as a breakthrough therapy is within the discretion of the FDA. Accordingly, even if we believe one of our product candidates meets the criteria for designation as a breakthrough therapy, the FDA may disagree and determine not to make such designation. In any event, the receipt of a Breakthrough Therapy Designation for a product candidate may not result in a faster development process, review or approval compared to drugs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such qualification.</w:t>
      </w:r>
    </w:p>
    <w:p>
      <w:pPr>
        <w:spacing w:after="0" w:line="252"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obtain orphan drug exclusivity for one or more of our product candidates, and even if we do, that exclusivity may not prevent the FDA or EMA from approving other competing products.</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Under the Orphan Drug Act of 1983, the FDA may designate a product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EMA from approving another marketing application for the same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73"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In order for the FDA to grant orphan drug exclusivity to one of our products, the FDA must find that the product is indicated for the treatment of a condition or disease with a patient population of fewer than 200,000 individuals annually in the United States. The FDA may conclude that the condition or disease for which we may seek orphan drug exclusivity does not meet this standard. Even if we obtain orphan drug exclusivity for a product, that exclusivity may not effectively protect the product from competition because different products can be approved for the same condition. In particular, the concept of what constitutes the “same drug” for purposes of orphan drug exclusivity remains in flux in the context of gene therapies, and the FDA has issued guidance suggesting that it would not consider two genetic medicine products to be different drugs solely based on minor differences in the transgenes or vectors within a given vector class. In addition, even after an orphan drug is approved, the FDA can subsequently approve the same product for the same condition if the FDA concludes that the later product</w:t>
      </w:r>
    </w:p>
    <w:p>
      <w:pPr>
        <w:sectPr>
          <w:pgSz w:w="12240" w:h="15840" w:orient="portrait"/>
          <w:cols w:equalWidth="0" w:num="1">
            <w:col w:w="9360"/>
          </w:cols>
          <w:pgMar w:left="1440" w:top="948" w:right="1440" w:bottom="348"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948" w:right="1440" w:bottom="348" w:gutter="0" w:footer="0" w:header="0"/>
          <w:type w:val="continuous"/>
        </w:sectPr>
      </w:pPr>
    </w:p>
    <w:bookmarkStart w:id="55" w:name="page56"/>
    <w:bookmarkEnd w:id="55"/>
    <w:p>
      <w:pPr>
        <w:ind w:right="100"/>
        <w:spacing w:after="0" w:line="248" w:lineRule="auto"/>
        <w:rPr>
          <w:sz w:val="20"/>
          <w:szCs w:val="20"/>
          <w:color w:val="auto"/>
        </w:rPr>
      </w:pPr>
      <w:r>
        <w:rPr>
          <w:rFonts w:ascii="Times New Roman" w:cs="Times New Roman" w:eastAsia="Times New Roman" w:hAnsi="Times New Roman"/>
          <w:sz w:val="20"/>
          <w:szCs w:val="20"/>
          <w:color w:val="auto"/>
        </w:rPr>
        <w:t>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69" w:lineRule="exact"/>
        <w:rPr>
          <w:sz w:val="20"/>
          <w:szCs w:val="20"/>
          <w:color w:val="auto"/>
        </w:rPr>
      </w:pPr>
    </w:p>
    <w:p>
      <w:pPr>
        <w:ind w:right="20" w:firstLine="480"/>
        <w:spacing w:after="0" w:line="246" w:lineRule="auto"/>
        <w:rPr>
          <w:sz w:val="20"/>
          <w:szCs w:val="20"/>
          <w:color w:val="auto"/>
        </w:rPr>
      </w:pPr>
      <w:r>
        <w:rPr>
          <w:rFonts w:ascii="Times New Roman" w:cs="Times New Roman" w:eastAsia="Times New Roman" w:hAnsi="Times New Roman"/>
          <w:sz w:val="20"/>
          <w:szCs w:val="20"/>
          <w:color w:val="auto"/>
        </w:rPr>
        <w:t>The FDA has historically taken the position that the scope of orphan exclusivity aligns with the approved indication or use of a product, rather than the disease or condition for which the product received orphan designation. However, in Catalyst Pharms., Inc. v. Becerra, 14 F.4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1299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Cir. 2021), the court disagreed with this position, holding that orphan-drug exclusivity blocked the FDA’s approval of the same drug for all uses or indications within the same orphan-designated disease. On January 24, 2023, the FDA published a notice in the Federal Register to clarify that the FDA intends to continue to apply its longstanding interpretation of the regulations to all matters outside of the scope of the Catalyst order and will continue tying the scope of orphan-drug exclusivity to the uses or indications for which a drug is approved. In February 2026, legislation amended the FDCA to clarify the scope of the orphan-drug exclusivity to the same approved use or indication within the rare for which the drug is approved. It is unclear how future litigation and administrative actions will impact the scope of orphan drug exclusivity and it is uncertain how any such actions might adversely affect our business.</w:t>
      </w:r>
    </w:p>
    <w:p>
      <w:pPr>
        <w:spacing w:after="0" w:line="25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the SEC and other government agencies, including from government shutdowns, or funding changes,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69" w:lineRule="exact"/>
        <w:rPr>
          <w:sz w:val="20"/>
          <w:szCs w:val="20"/>
          <w:color w:val="auto"/>
        </w:rPr>
      </w:pPr>
    </w:p>
    <w:p>
      <w:pPr>
        <w:ind w:firstLine="480"/>
        <w:spacing w:after="0" w:line="263" w:lineRule="auto"/>
        <w:rPr>
          <w:sz w:val="20"/>
          <w:szCs w:val="20"/>
          <w:color w:val="auto"/>
        </w:rPr>
      </w:pPr>
      <w:r>
        <w:rPr>
          <w:rFonts w:ascii="Times New Roman" w:cs="Times New Roman" w:eastAsia="Times New Roman" w:hAnsi="Times New Roman"/>
          <w:sz w:val="19"/>
          <w:szCs w:val="19"/>
          <w:color w:val="auto"/>
        </w:rPr>
        <w:t>Over the last several years, the U.S. government has shut down several times, and certain regulatory agencies, such as the FDA, have had to furlough critical employees and stop certain critical activities. For example, beginning on October 1, 2025, the U.S. government shut down and remained shut down until November 12, 2025, during which time certain regulatory agencies, such as the FDA and the SEC, furloughed certain employees and stopped certain activities. Additionally, on October 10, 2025, the U.S. government implemented substantial layoffs and workforce reductions in connection with the ongoing federal government shutdown, which resulted in the suspension or delay of various government-funded programs. The ability of the FDA to review and approve new products, to provide feedback on clinical trials and development programs, to meet with sponsors and to otherwise review regulatory submissions can be affected by a variety of factors, including government budget and funding levels, reductions</w:t>
      </w:r>
    </w:p>
    <w:p>
      <w:pPr>
        <w:spacing w:after="0" w:line="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in workforce, ability to hire and retain key personnel and accept the payment of user fees, substantial changes in leadership and shifting policy priorities as a result of changes in the presidential administration and its appointees tasked to oversee the agency, and statutory, regulatory, and policy changes. In the past, average review times at the agency have fluctuated, and this may continue in the future. In addition, government funding of other agencies on which our operations may rely is subject to the political process, which is inherently fluid and unpredictable. If we or our collaborators experience delays in obtaining approval or if we or they fail to obtain approval of our product candidates, the commercial prospects for our product candidates may be harmed and our ability to generate revenue will be materially impaired.</w:t>
      </w:r>
    </w:p>
    <w:p>
      <w:pPr>
        <w:spacing w:after="0" w:line="171" w:lineRule="exact"/>
        <w:rPr>
          <w:sz w:val="20"/>
          <w:szCs w:val="20"/>
          <w:color w:val="auto"/>
        </w:rPr>
      </w:pPr>
    </w:p>
    <w:p>
      <w:pPr>
        <w:ind w:right="20" w:firstLine="480"/>
        <w:spacing w:after="0" w:line="263" w:lineRule="auto"/>
        <w:rPr>
          <w:sz w:val="20"/>
          <w:szCs w:val="20"/>
          <w:color w:val="auto"/>
        </w:rPr>
      </w:pPr>
      <w:r>
        <w:rPr>
          <w:rFonts w:ascii="Times New Roman" w:cs="Times New Roman" w:eastAsia="Times New Roman" w:hAnsi="Times New Roman"/>
          <w:sz w:val="19"/>
          <w:szCs w:val="19"/>
          <w:color w:val="auto"/>
        </w:rPr>
        <w:t>Disruptions at the FDA and other agencies, including as a result of reductions in force, significant organizational changes, substantial leadership departures, and policy changes, may also slow the time necessary for new product candidates to be reviewed and/or approved by necessary government agencies, which would adversely affect our business. There is substantial uncertainty as to how the current U.S. administration will continue to modify or revise the requirements and policies of the FDA and other regulatory agencies with jurisdiction over our product candidates. For example, the current U.S. administration has implemented and discussed several changes to the reach and oversight of the FDA, which could affect its relationship with the pharmaceutical industry, transparency in decision making and ultimately the cost and availability of prescription drugs. The impending uncertainty could present new challenges or potential opportunities as we navigate the clinical development and approval process</w:t>
      </w:r>
    </w:p>
    <w:p>
      <w:pPr>
        <w:spacing w:after="0" w:line="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for our product candidates. The current U.S. administration has also taken steps to reduce the number of federal employees by establishing voluntary termination programs, by position eliminations or by involuntary terminations. If funding for the FDA is reduced, if the FDA workforce is reduced, it could significantly impact the ability of the FDA to timely review and process our regulatory submissions, which could have a material adverse effect on our business.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948" w:right="1440" w:bottom="348" w:gutter="0" w:footer="0" w:header="0"/>
          <w:type w:val="continuous"/>
        </w:sectPr>
      </w:pPr>
    </w:p>
    <w:bookmarkStart w:id="56" w:name="page57"/>
    <w:bookmarkEnd w:id="56"/>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Further, a prolonged or future shutdown of the U.S. federal government could materially impact the operations of the SEC. For example, the SEC announced that during the current U.S. federal government shutdown, it will not declare registration statements effective. In the event of an extended shutdown, the SEC may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Relationships with Third Parties</w:t>
      </w:r>
    </w:p>
    <w:p>
      <w:pPr>
        <w:spacing w:after="0" w:line="259"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preclinical and clinical trials and will rely on them to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171" w:lineRule="exact"/>
        <w:rPr>
          <w:sz w:val="20"/>
          <w:szCs w:val="20"/>
          <w:color w:val="auto"/>
        </w:rPr>
      </w:pPr>
    </w:p>
    <w:p>
      <w:pPr>
        <w:ind w:right="180" w:firstLine="480"/>
        <w:spacing w:after="0" w:line="249" w:lineRule="auto"/>
        <w:rPr>
          <w:sz w:val="20"/>
          <w:szCs w:val="20"/>
          <w:color w:val="auto"/>
        </w:rPr>
      </w:pPr>
      <w:r>
        <w:rPr>
          <w:rFonts w:ascii="Times New Roman" w:cs="Times New Roman" w:eastAsia="Times New Roman" w:hAnsi="Times New Roman"/>
          <w:sz w:val="20"/>
          <w:szCs w:val="20"/>
          <w:color w:val="auto"/>
        </w:rPr>
        <w:t>Although we have recruited a team that has experience with clinical trials, as a company, we have limited experience in conducting clinical trials. Moreover, we do not have the ability to independently conduct preclinical studies and clinical trials, and we have relied upon, and plan to continue to rely upon, medical institutions, clinical investigators, contract laboratories and other third parties, or our CROs, to conduct preclinical studies and future clinical trials for our product candidates. We expect to rely heavily on these parties for execution of preclinical and future clinical trials for our product candidates and control only certain aspects of their activities. Nevertheless, we will be responsible for ensuring that each of our preclinical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and clinical trials, we could be subject to warning letters or enforcement action that may include civil and other penalties up to and including criminal prosecution.</w:t>
      </w:r>
    </w:p>
    <w:p>
      <w:pPr>
        <w:spacing w:after="0" w:line="175"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We and our CROs will be required to comply with regulations, including GCPs for conducting, monitoring, recording and reporting the results of preclinical and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IRBs, and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in accordance with the requirements in the FDA’s current cGMPs requirements. Our failure or the failure of our CROs to comply with these regulations may require</w:t>
      </w:r>
    </w:p>
    <w:p>
      <w:pPr>
        <w:spacing w:after="0" w:line="18" w:lineRule="exact"/>
        <w:rPr>
          <w:sz w:val="20"/>
          <w:szCs w:val="20"/>
          <w:color w:val="auto"/>
        </w:rPr>
      </w:pPr>
    </w:p>
    <w:p>
      <w:pPr>
        <w:ind w:right="500"/>
        <w:spacing w:after="0" w:line="243" w:lineRule="auto"/>
        <w:rPr>
          <w:sz w:val="20"/>
          <w:szCs w:val="20"/>
          <w:color w:val="auto"/>
        </w:rPr>
      </w:pPr>
      <w:r>
        <w:rPr>
          <w:rFonts w:ascii="Times New Roman" w:cs="Times New Roman" w:eastAsia="Times New Roman" w:hAnsi="Times New Roman"/>
          <w:sz w:val="20"/>
          <w:szCs w:val="20"/>
          <w:color w:val="auto"/>
        </w:rPr>
        <w:t>us to repeat clinical trials, which would delay the regulatory approval process and could also subject us to enforcement action.</w:t>
      </w:r>
    </w:p>
    <w:p>
      <w:pPr>
        <w:spacing w:after="0" w:line="174"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Although we intend to design our planned clinical trials for our product candidates, for the foreseeable future, CROs will conduct all of our planned clinical trials. As a result, many important aspects of our development programs, including their conduct and timing, will be outside of our direct control. Our reliance on third parties to conduct future preclinical studies and clinical trials will also result in less day-to-day control over the management of data developed through preclinical studies and clinical trials than would be the case if we were relying entirely upon our own staff.</w:t>
      </w:r>
    </w:p>
    <w:p>
      <w:pPr>
        <w:spacing w:after="0" w:line="168"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20"/>
          <w:szCs w:val="20"/>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preclinical studies or clinical trials with which such CROs are associated with may be extended, delayed or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948" w:right="1440" w:bottom="348" w:gutter="0" w:footer="0" w:header="0"/>
          <w:type w:val="continuous"/>
        </w:sectPr>
      </w:pPr>
    </w:p>
    <w:bookmarkStart w:id="57" w:name="page58"/>
    <w:bookmarkEnd w:id="57"/>
    <w:p>
      <w:pPr>
        <w:ind w:right="80"/>
        <w:spacing w:after="0" w:line="249" w:lineRule="auto"/>
        <w:rPr>
          <w:sz w:val="20"/>
          <w:szCs w:val="20"/>
          <w:color w:val="auto"/>
        </w:rPr>
      </w:pPr>
      <w:r>
        <w:rPr>
          <w:rFonts w:ascii="Times New Roman" w:cs="Times New Roman" w:eastAsia="Times New Roman" w:hAnsi="Times New Roman"/>
          <w:sz w:val="20"/>
          <w:szCs w:val="20"/>
          <w:color w:val="auto"/>
        </w:rPr>
        <w:t>terminated. In such cases, we may not be able to obtain regulatory approval for or successfully commercialize our product candidates. As a result, our financial results and the commercial prospects for our product candidates in the subject indication could be harmed, our costs could increase and our ability to generate revenue could be delayed.</w:t>
      </w:r>
    </w:p>
    <w:p>
      <w:pPr>
        <w:spacing w:after="0" w:line="200" w:lineRule="exact"/>
        <w:rPr>
          <w:sz w:val="20"/>
          <w:szCs w:val="20"/>
          <w:color w:val="auto"/>
        </w:rPr>
      </w:pPr>
    </w:p>
    <w:p>
      <w:pPr>
        <w:spacing w:after="0" w:line="28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We currently rely on a single manufacturer for our clinical supply of our product candidates. In the event of a loss of this manufacturer, or a failure by such manufacturer to comply with FDA regulations, we may not be able to find an alternative source on commercially reasonable terms, or at all. In addition, third-party manufacturers and any third-party collaborators may be unable to successfully scale-up manufacturing of our current or future product candidates in sufficient quality and quantity, which would delay or prevent us from developing our product candidates and commercializing approved products, if any.</w:t>
      </w:r>
    </w:p>
    <w:p>
      <w:pPr>
        <w:spacing w:after="0" w:line="172"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We do not have any manufacturing facilities at the present time. We currently rely on third-party manufacturers, including Lonza Sales AG (“Lonza”) as a single source supplier, for the manufacture and supply of our materials for preclinical studies and clinical trials, and expect to continue to do so for future clinical testing and for commercial supply of briquilimab and any other product candidates that we may develop and for which we or our collaborators obtain marketing approval. Our agreement with Lonza includes certain limitations on our ability to enter into supply arrangements with any other supplier without Lonza’s consent. In addition, Lonza has the right to increase the prices it charges us for certain supplies depending on a number of factors, some of which are outside of our control. We may be unable to maintain or establish any agreements with third-party manufacturers or suppliers or to do so on acceptable terms. Even if we are able to establish agreements with third-party manufacturers or suppliers, reliance on third-party manufacturers entails additional risks, including:</w:t>
      </w:r>
    </w:p>
    <w:p>
      <w:pPr>
        <w:spacing w:after="0" w:line="167" w:lineRule="exact"/>
        <w:rPr>
          <w:sz w:val="20"/>
          <w:szCs w:val="20"/>
          <w:color w:val="auto"/>
        </w:rPr>
      </w:pPr>
    </w:p>
    <w:p>
      <w:pPr>
        <w:ind w:left="960" w:hanging="480"/>
        <w:spacing w:after="0"/>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breach of the manufacturing or supply agreement by the third party;</w:t>
      </w:r>
    </w:p>
    <w:p>
      <w:pPr>
        <w:spacing w:after="0" w:line="176" w:lineRule="exact"/>
        <w:rPr>
          <w:rFonts w:ascii="Times New Roman" w:cs="Times New Roman" w:eastAsia="Times New Roman" w:hAnsi="Times New Roman"/>
          <w:sz w:val="20"/>
          <w:szCs w:val="20"/>
          <w:color w:val="auto"/>
        </w:rPr>
      </w:pPr>
    </w:p>
    <w:p>
      <w:pPr>
        <w:ind w:left="960" w:right="440" w:hanging="480"/>
        <w:spacing w:after="0" w:line="243" w:lineRule="auto"/>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 and</w:t>
      </w:r>
    </w:p>
    <w:p>
      <w:pPr>
        <w:spacing w:after="0" w:line="174" w:lineRule="exact"/>
        <w:rPr>
          <w:rFonts w:ascii="Times New Roman" w:cs="Times New Roman" w:eastAsia="Times New Roman" w:hAnsi="Times New Roman"/>
          <w:sz w:val="20"/>
          <w:szCs w:val="20"/>
          <w:color w:val="auto"/>
        </w:rPr>
      </w:pPr>
    </w:p>
    <w:p>
      <w:pPr>
        <w:ind w:left="960" w:right="240" w:hanging="480"/>
        <w:spacing w:after="0" w:line="243" w:lineRule="auto"/>
        <w:tabs>
          <w:tab w:leader="none" w:pos="9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the third party for regulatory compliance, quality assurance, safety and pharmacovigilance and related reporting.</w:t>
      </w:r>
    </w:p>
    <w:p>
      <w:pPr>
        <w:spacing w:after="0" w:line="174" w:lineRule="exact"/>
        <w:rPr>
          <w:sz w:val="20"/>
          <w:szCs w:val="20"/>
          <w:color w:val="auto"/>
        </w:rPr>
      </w:pPr>
    </w:p>
    <w:p>
      <w:pPr>
        <w:ind w:right="200" w:firstLine="480"/>
        <w:spacing w:after="0" w:line="248" w:lineRule="auto"/>
        <w:rPr>
          <w:sz w:val="20"/>
          <w:szCs w:val="20"/>
          <w:color w:val="auto"/>
        </w:rPr>
      </w:pPr>
      <w:r>
        <w:rPr>
          <w:rFonts w:ascii="Times New Roman" w:cs="Times New Roman" w:eastAsia="Times New Roman" w:hAnsi="Times New Roman"/>
          <w:sz w:val="20"/>
          <w:szCs w:val="20"/>
          <w:color w:val="auto"/>
        </w:rPr>
        <w:t>In addition, pursuant to our Exclusive License Agreement with Amgen Inc., Lonza Biologics, Inc. has been engaged to manufacture briquilimab for us. The agreement provides that in the event we wish to change the manufacturer of briquilimab to a different party, we must obtain Amgen Inc.’s prior consent. As a result, our ability to obtain any alternative supplier of briquilimab may be further limited.</w:t>
      </w:r>
    </w:p>
    <w:p>
      <w:pPr>
        <w:spacing w:after="0" w:line="169" w:lineRule="exact"/>
        <w:rPr>
          <w:sz w:val="20"/>
          <w:szCs w:val="20"/>
          <w:color w:val="auto"/>
        </w:rPr>
      </w:pPr>
    </w:p>
    <w:p>
      <w:pPr>
        <w:ind w:right="320" w:firstLine="480"/>
        <w:spacing w:after="0" w:line="249" w:lineRule="auto"/>
        <w:rPr>
          <w:sz w:val="20"/>
          <w:szCs w:val="20"/>
          <w:color w:val="auto"/>
        </w:rPr>
      </w:pPr>
      <w:r>
        <w:rPr>
          <w:rFonts w:ascii="Times New Roman" w:cs="Times New Roman" w:eastAsia="Times New Roman" w:hAnsi="Times New Roman"/>
          <w:sz w:val="20"/>
          <w:szCs w:val="20"/>
          <w:color w:val="auto"/>
        </w:rPr>
        <w:t>Third-party manufacturers may not be able to comply with cGMP regulations or similar regulatory requirements outside the United States. Our failure, or the failure of our third-party manufacturers or suppliers, to comply with applicable regulations could result in sanctions being imposed on us, including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and harm our business, financial condition, results of operations and prospects.</w:t>
      </w:r>
    </w:p>
    <w:p>
      <w:pPr>
        <w:spacing w:after="0" w:line="170" w:lineRule="exact"/>
        <w:rPr>
          <w:sz w:val="20"/>
          <w:szCs w:val="20"/>
          <w:color w:val="auto"/>
        </w:rPr>
      </w:pPr>
    </w:p>
    <w:p>
      <w:pPr>
        <w:ind w:right="260" w:firstLine="480"/>
        <w:spacing w:after="0" w:line="249" w:lineRule="auto"/>
        <w:rPr>
          <w:sz w:val="20"/>
          <w:szCs w:val="20"/>
          <w:color w:val="auto"/>
        </w:rPr>
      </w:pPr>
      <w:r>
        <w:rPr>
          <w:rFonts w:ascii="Times New Roman" w:cs="Times New Roman" w:eastAsia="Times New Roman" w:hAnsi="Times New Roman"/>
          <w:sz w:val="20"/>
          <w:szCs w:val="20"/>
          <w:color w:val="auto"/>
        </w:rPr>
        <w:t>Our product candidates may compete with other product candidates and products for access to manufacturing facilities and other supplies. There are a limited number of manufacturers that operate under cGMP regulations and that might be capable of manufacturing for us. Also, prior to the approval of our product candidates,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w:t>
      </w:r>
    </w:p>
    <w:p>
      <w:pPr>
        <w:spacing w:after="0" w:line="170" w:lineRule="exact"/>
        <w:rPr>
          <w:sz w:val="20"/>
          <w:szCs w:val="20"/>
          <w:color w:val="auto"/>
        </w:rPr>
      </w:pPr>
    </w:p>
    <w:p>
      <w:pPr>
        <w:ind w:right="100" w:firstLine="480"/>
        <w:spacing w:after="0" w:line="248" w:lineRule="auto"/>
        <w:rPr>
          <w:sz w:val="20"/>
          <w:szCs w:val="20"/>
          <w:color w:val="auto"/>
        </w:rPr>
      </w:pPr>
      <w:r>
        <w:rPr>
          <w:rFonts w:ascii="Times New Roman" w:cs="Times New Roman" w:eastAsia="Times New Roman" w:hAnsi="Times New Roman"/>
          <w:sz w:val="20"/>
          <w:szCs w:val="20"/>
          <w:color w:val="auto"/>
        </w:rPr>
        <w:t>Any performance failure on the part of our existing or future manufacturers or suppliers, or any decision by a manufacturer or supplier to remove our products from the market or restrict access to our products, could delay clinical development or marketing approval. We do not currently have arrangements in place for redundant or guaranteed supply for many of the materials we currently use in our clinical trials or preclinical studies, and we may have difficulty or be unable to establish alternative sources of these materials.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948" w:right="1440" w:bottom="348" w:gutter="0" w:footer="0" w:header="0"/>
          <w:type w:val="continuous"/>
        </w:sectPr>
      </w:pPr>
    </w:p>
    <w:bookmarkStart w:id="58" w:name="page59"/>
    <w:bookmarkEnd w:id="58"/>
    <w:p>
      <w:pPr>
        <w:ind w:right="2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may enter into collaborations with third parties for the research, development and commercialization of certain product candidates we may develop. If any such collaborations are not successful, we may not be able to capitalize on the market potential of those product candidates.</w:t>
      </w:r>
    </w:p>
    <w:p>
      <w:pPr>
        <w:spacing w:after="0" w:line="173"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We may seek third-party collaborators for the research, development and commercialization of certain product candidates we may develop. If we enter into any such arrangements with any third parties, we will likely have limited control over the amount and timing of resources that our collaborators dedicate to the development or commercialization our product candidates.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168" w:lineRule="exact"/>
        <w:rPr>
          <w:sz w:val="20"/>
          <w:szCs w:val="20"/>
          <w:color w:val="auto"/>
        </w:rPr>
      </w:pPr>
    </w:p>
    <w:p>
      <w:pPr>
        <w:ind w:right="40" w:firstLine="480"/>
        <w:spacing w:after="0" w:line="243" w:lineRule="auto"/>
        <w:rPr>
          <w:sz w:val="20"/>
          <w:szCs w:val="20"/>
          <w:color w:val="auto"/>
        </w:rPr>
      </w:pPr>
      <w:r>
        <w:rPr>
          <w:rFonts w:ascii="Times New Roman" w:cs="Times New Roman" w:eastAsia="Times New Roman" w:hAnsi="Times New Roman"/>
          <w:sz w:val="20"/>
          <w:szCs w:val="20"/>
          <w:color w:val="auto"/>
        </w:rPr>
        <w:t>Collaborations involving our current or future product candidates or research programs pose numerous risks to us, including the following:</w:t>
      </w:r>
    </w:p>
    <w:p>
      <w:pPr>
        <w:spacing w:after="0" w:line="174" w:lineRule="exact"/>
        <w:rPr>
          <w:sz w:val="20"/>
          <w:szCs w:val="20"/>
          <w:color w:val="auto"/>
        </w:rPr>
      </w:pPr>
    </w:p>
    <w:p>
      <w:pPr>
        <w:ind w:left="960" w:right="260" w:hanging="480"/>
        <w:spacing w:after="0" w:line="248" w:lineRule="auto"/>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69" w:lineRule="exact"/>
        <w:rPr>
          <w:rFonts w:ascii="Times New Roman" w:cs="Times New Roman" w:eastAsia="Times New Roman" w:hAnsi="Times New Roman"/>
          <w:sz w:val="20"/>
          <w:szCs w:val="20"/>
          <w:color w:val="auto"/>
        </w:rPr>
      </w:pPr>
    </w:p>
    <w:p>
      <w:pPr>
        <w:jc w:val="both"/>
        <w:ind w:left="960" w:right="420" w:hanging="480"/>
        <w:spacing w:after="0" w:line="246" w:lineRule="auto"/>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2" w:lineRule="exact"/>
        <w:rPr>
          <w:rFonts w:ascii="Times New Roman" w:cs="Times New Roman" w:eastAsia="Times New Roman" w:hAnsi="Times New Roman"/>
          <w:sz w:val="20"/>
          <w:szCs w:val="20"/>
          <w:color w:val="auto"/>
        </w:rPr>
      </w:pPr>
    </w:p>
    <w:p>
      <w:pPr>
        <w:ind w:left="960" w:right="80" w:hanging="480"/>
        <w:spacing w:after="0" w:line="248" w:lineRule="auto"/>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69" w:lineRule="exact"/>
        <w:rPr>
          <w:rFonts w:ascii="Times New Roman" w:cs="Times New Roman" w:eastAsia="Times New Roman" w:hAnsi="Times New Roman"/>
          <w:sz w:val="20"/>
          <w:szCs w:val="20"/>
          <w:color w:val="auto"/>
        </w:rPr>
      </w:pPr>
    </w:p>
    <w:p>
      <w:pPr>
        <w:ind w:left="960" w:right="100" w:hanging="480"/>
        <w:spacing w:after="0" w:line="243" w:lineRule="auto"/>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with marketing and distribution rights to one or more products may not commit sufficient resources to the marketing and distribution of such products.</w:t>
      </w:r>
    </w:p>
    <w:p>
      <w:pPr>
        <w:spacing w:after="0" w:line="174" w:lineRule="exact"/>
        <w:rPr>
          <w:rFonts w:ascii="Times New Roman" w:cs="Times New Roman" w:eastAsia="Times New Roman" w:hAnsi="Times New Roman"/>
          <w:sz w:val="20"/>
          <w:szCs w:val="20"/>
          <w:color w:val="auto"/>
        </w:rPr>
      </w:pPr>
    </w:p>
    <w:p>
      <w:pPr>
        <w:ind w:left="960" w:right="160" w:hanging="480"/>
        <w:spacing w:after="0" w:line="246" w:lineRule="auto"/>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72" w:lineRule="exact"/>
        <w:rPr>
          <w:rFonts w:ascii="Times New Roman" w:cs="Times New Roman" w:eastAsia="Times New Roman" w:hAnsi="Times New Roman"/>
          <w:sz w:val="20"/>
          <w:szCs w:val="20"/>
          <w:color w:val="auto"/>
        </w:rPr>
      </w:pPr>
    </w:p>
    <w:p>
      <w:pPr>
        <w:ind w:left="960" w:right="20" w:hanging="480"/>
        <w:spacing w:after="0" w:line="246" w:lineRule="auto"/>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72" w:lineRule="exact"/>
        <w:rPr>
          <w:rFonts w:ascii="Times New Roman" w:cs="Times New Roman" w:eastAsia="Times New Roman" w:hAnsi="Times New Roman"/>
          <w:sz w:val="20"/>
          <w:szCs w:val="20"/>
          <w:color w:val="auto"/>
        </w:rPr>
      </w:pPr>
    </w:p>
    <w:p>
      <w:pPr>
        <w:ind w:left="960" w:right="40" w:hanging="480"/>
        <w:spacing w:after="0" w:line="243" w:lineRule="auto"/>
        <w:tabs>
          <w:tab w:leader="none" w:pos="9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lose certain valuable rights under circumstances identified in our collaborations, including if we undergo a change of control; and</w:t>
      </w:r>
    </w:p>
    <w:p>
      <w:pPr>
        <w:spacing w:after="0" w:line="174" w:lineRule="exact"/>
        <w:rPr>
          <w:rFonts w:ascii="Times New Roman" w:cs="Times New Roman" w:eastAsia="Times New Roman" w:hAnsi="Times New Roman"/>
          <w:sz w:val="20"/>
          <w:szCs w:val="20"/>
          <w:color w:val="auto"/>
        </w:rPr>
      </w:pPr>
    </w:p>
    <w:p>
      <w:pPr>
        <w:ind w:left="960" w:right="460" w:hanging="480"/>
        <w:spacing w:after="0" w:line="265" w:lineRule="auto"/>
        <w:tabs>
          <w:tab w:leader="none" w:pos="9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55"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If our collaborations do not result in the successful development and commercialization of product candidates, or if one of our collaborators terminates our agreement with us, we may not receive any future research funding</w:t>
      </w:r>
    </w:p>
    <w:p>
      <w:pPr>
        <w:spacing w:after="0" w:line="1"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20"/>
          <w:szCs w:val="20"/>
          <w:color w:val="auto"/>
        </w:rPr>
        <w:t>or milestone or royalty payments under the collaboration. If we do not receive the funding we expect under these agreements,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170" w:lineRule="exact"/>
        <w:rPr>
          <w:sz w:val="20"/>
          <w:szCs w:val="20"/>
          <w:color w:val="auto"/>
        </w:rPr>
      </w:pPr>
    </w:p>
    <w:p>
      <w:pPr>
        <w:jc w:val="both"/>
        <w:ind w:right="160" w:firstLine="480"/>
        <w:spacing w:after="0" w:line="246" w:lineRule="auto"/>
        <w:rPr>
          <w:sz w:val="20"/>
          <w:szCs w:val="20"/>
          <w:color w:val="auto"/>
        </w:rPr>
      </w:pPr>
      <w:r>
        <w:rPr>
          <w:rFonts w:ascii="Times New Roman" w:cs="Times New Roman" w:eastAsia="Times New Roman" w:hAnsi="Times New Roman"/>
          <w:sz w:val="20"/>
          <w:szCs w:val="20"/>
          <w:color w:val="auto"/>
        </w:rPr>
        <w:t>These relationships, or those like them, may require us to incur non-recurring and other charges, increase our near- and long-term expenditures, issue securities that dilute our existing stockholders, or disrupt our management and business.</w:t>
      </w:r>
    </w:p>
    <w:p>
      <w:pPr>
        <w:sectPr>
          <w:pgSz w:w="12240" w:h="15840" w:orient="portrait"/>
          <w:cols w:equalWidth="0" w:num="1">
            <w:col w:w="9360"/>
          </w:cols>
          <w:pgMar w:left="1440" w:top="951" w:right="1440" w:bottom="348"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951" w:right="1440" w:bottom="348" w:gutter="0" w:footer="0" w:header="0"/>
          <w:type w:val="continuous"/>
        </w:sectPr>
      </w:pPr>
    </w:p>
    <w:bookmarkStart w:id="59" w:name="page60"/>
    <w:bookmarkEnd w:id="59"/>
    <w:p>
      <w:pPr>
        <w:ind w:right="740"/>
        <w:spacing w:after="0"/>
        <w:rPr>
          <w:sz w:val="20"/>
          <w:szCs w:val="20"/>
          <w:color w:val="auto"/>
        </w:rPr>
      </w:pPr>
      <w:r>
        <w:rPr>
          <w:rFonts w:ascii="Times New Roman" w:cs="Times New Roman" w:eastAsia="Times New Roman" w:hAnsi="Times New Roman"/>
          <w:sz w:val="20"/>
          <w:szCs w:val="20"/>
          <w:b w:val="1"/>
          <w:bCs w:val="1"/>
          <w:i w:val="1"/>
          <w:iCs w:val="1"/>
          <w:color w:val="auto"/>
        </w:rPr>
        <w:t>If we are not able to establish collaborations on commercially reasonable terms, we may have to alter our development and commercialization plans.</w:t>
      </w:r>
    </w:p>
    <w:p>
      <w:pPr>
        <w:spacing w:after="0" w:line="177" w:lineRule="exact"/>
        <w:rPr>
          <w:sz w:val="20"/>
          <w:szCs w:val="20"/>
          <w:color w:val="auto"/>
        </w:rPr>
      </w:pPr>
    </w:p>
    <w:p>
      <w:pPr>
        <w:ind w:right="180" w:firstLine="480"/>
        <w:spacing w:after="0" w:line="248" w:lineRule="auto"/>
        <w:rPr>
          <w:sz w:val="20"/>
          <w:szCs w:val="20"/>
          <w:color w:val="auto"/>
        </w:rPr>
      </w:pPr>
      <w:r>
        <w:rPr>
          <w:rFonts w:ascii="Times New Roman" w:cs="Times New Roman" w:eastAsia="Times New Roman" w:hAnsi="Times New Roman"/>
          <w:sz w:val="20"/>
          <w:szCs w:val="20"/>
          <w:color w:val="auto"/>
        </w:rPr>
        <w:t>Our product development and research programs and the potential commercialization of briquilimab or any other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169"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75" w:lineRule="exact"/>
        <w:rPr>
          <w:sz w:val="20"/>
          <w:szCs w:val="20"/>
          <w:color w:val="auto"/>
        </w:rPr>
      </w:pPr>
    </w:p>
    <w:p>
      <w:pPr>
        <w:ind w:right="560" w:firstLine="480"/>
        <w:spacing w:after="0" w:line="265" w:lineRule="auto"/>
        <w:rPr>
          <w:sz w:val="20"/>
          <w:szCs w:val="20"/>
          <w:color w:val="auto"/>
        </w:rPr>
      </w:pPr>
      <w:r>
        <w:rPr>
          <w:rFonts w:ascii="Times New Roman" w:cs="Times New Roman" w:eastAsia="Times New Roman" w:hAnsi="Times New Roman"/>
          <w:sz w:val="19"/>
          <w:szCs w:val="19"/>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55"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59"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20"/>
          <w:szCs w:val="20"/>
          <w:b w:val="1"/>
          <w:bCs w:val="1"/>
          <w:i w:val="1"/>
          <w:iCs w:val="1"/>
          <w:color w:val="auto"/>
        </w:rPr>
        <w:t>We are highly dependent on intellectual property licensed from third parties, and termination of any of these licenses could result in the loss of significant rights, which would harm our business.</w:t>
      </w:r>
    </w:p>
    <w:p>
      <w:pPr>
        <w:spacing w:after="0" w:line="177" w:lineRule="exact"/>
        <w:rPr>
          <w:sz w:val="20"/>
          <w:szCs w:val="20"/>
          <w:color w:val="auto"/>
        </w:rPr>
      </w:pPr>
    </w:p>
    <w:p>
      <w:pPr>
        <w:ind w:right="20" w:firstLine="480"/>
        <w:spacing w:after="0" w:line="248" w:lineRule="auto"/>
        <w:rPr>
          <w:sz w:val="20"/>
          <w:szCs w:val="20"/>
          <w:color w:val="auto"/>
        </w:rPr>
      </w:pPr>
      <w:r>
        <w:rPr>
          <w:rFonts w:ascii="Times New Roman" w:cs="Times New Roman" w:eastAsia="Times New Roman" w:hAnsi="Times New Roman"/>
          <w:sz w:val="20"/>
          <w:szCs w:val="20"/>
          <w:color w:val="auto"/>
        </w:rPr>
        <w:t>We are dependent on the patents, know-how and proprietary technology licensed from third parties for the development and, if approved, commercialization of briquilimab. Any termination of these licenses, or a finding that such intellectual property lacks legal effect, could result in the loss of significant rights and could harm our ability to commercialize our current or future product candidates.</w:t>
      </w:r>
    </w:p>
    <w:p>
      <w:pPr>
        <w:spacing w:after="0" w:line="169" w:lineRule="exact"/>
        <w:rPr>
          <w:sz w:val="20"/>
          <w:szCs w:val="20"/>
          <w:color w:val="auto"/>
        </w:rPr>
      </w:pPr>
    </w:p>
    <w:p>
      <w:pPr>
        <w:ind w:right="380" w:firstLine="480"/>
        <w:spacing w:after="0" w:line="248" w:lineRule="auto"/>
        <w:rPr>
          <w:sz w:val="20"/>
          <w:szCs w:val="20"/>
          <w:color w:val="auto"/>
        </w:rPr>
      </w:pPr>
      <w:r>
        <w:rPr>
          <w:rFonts w:ascii="Times New Roman" w:cs="Times New Roman" w:eastAsia="Times New Roman" w:hAnsi="Times New Roman"/>
          <w:sz w:val="20"/>
          <w:szCs w:val="20"/>
          <w:color w:val="auto"/>
        </w:rPr>
        <w:t>For example, we rely on our worldwide exclusive license agreement with Amgen Inc., whereby we license a patent portfolio from Amgen Inc. applicable to our targeted conditioning program that contains patent families directed to humanized KIT antibody. We also rely on our license agreement with Stanford, whereby we license a patent portfolio applicable to our targeted conditioning program that contains patent families directed to immunodepletion of endogenous stem cell niche for engraftment.</w:t>
      </w:r>
    </w:p>
    <w:p>
      <w:pPr>
        <w:spacing w:after="0" w:line="17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Each of our license agreements with third parties impose certain obligations on us, including obligations to use diligent efforts to meet development thresholds and payment obligations. Non-compliance with such obligations may result in termination of the respective license agreement or in legal and financial consequences. If any of our licensors terminates its respective license agreement, we may not be able to develop or commercialize briquilimab or any other product candidates covered by these agreements. Termination of our license agreements or reduction or elimination of our rights under them may result in us having to negotiate a new or reinstated agreement, which may not be available to us on equally favorable terms, or at all, which may mean we are unable to develop, commercialize or sell the affected product candidate or may cause us to lose our rights under the agreement.</w:t>
      </w:r>
    </w:p>
    <w:p>
      <w:pPr>
        <w:sectPr>
          <w:pgSz w:w="12240" w:h="15840" w:orient="portrait"/>
          <w:cols w:equalWidth="0" w:num="1">
            <w:col w:w="9360"/>
          </w:cols>
          <w:pgMar w:left="1440" w:top="951" w:right="1440" w:bottom="348"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951" w:right="1440" w:bottom="348" w:gutter="0" w:footer="0" w:header="0"/>
          <w:type w:val="continuous"/>
        </w:sectPr>
      </w:pPr>
    </w:p>
    <w:bookmarkStart w:id="60" w:name="page61"/>
    <w:bookmarkEnd w:id="60"/>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In addition, our licensors may make decisions in prosecuting, maintaining, enforcing and defending any licensed intellectual property rights that may not be in our best interest. Moreover, if our licensors take any action with respect to any licensed intellectual property rights, for example, any licensed patents or patent applications, that results in a successful challenge to the licensed intellectual property by a third party, such patents may be invalidated or held to be unenforceable, and we may lose our rights under such patents, which could materially harm our business.</w:t>
      </w:r>
    </w:p>
    <w:p>
      <w:pPr>
        <w:spacing w:after="0" w:line="168"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Further, the agreements under which we currently license intellectual property from third parties are complex, and certain provisions in such agreements may be susceptible to multiple interpretations. Accordingly, disputes may arise between us and our licensors regarding intellectual property subject to a license agreement.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are insufficient to provide us with the necessary rights to use the intellectual property, we may be unable to successfully develop and commercialize the affected product candidates.</w:t>
      </w:r>
    </w:p>
    <w:p>
      <w:pPr>
        <w:spacing w:after="0" w:line="255"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20"/>
          <w:szCs w:val="20"/>
          <w:b w:val="1"/>
          <w:bCs w:val="1"/>
          <w:i w:val="1"/>
          <w:iCs w:val="1"/>
          <w:color w:val="auto"/>
        </w:rPr>
        <w:t>Our commercial success depends on our ability to obtain, maintain and protect our intellectual property and proprietary technology.</w:t>
      </w:r>
    </w:p>
    <w:p>
      <w:pPr>
        <w:spacing w:after="0" w:line="177"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Our commercial success depends in large part on our ability to obtain, maintain and protect intellectual property rights through patents, trademarks and trade secrets in the United States and other countries with respect to our proprietary product candidates. If we do not adequately protect our intellectual property rights, competitors may be able to erode, negate or preempt any competitive advantage we may have, which could harm our business and ability to achieve profitability.</w:t>
      </w:r>
    </w:p>
    <w:p>
      <w:pPr>
        <w:spacing w:after="0" w:line="172"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To protect our proprietary position, we own and have in-licensed certain intellectual property rights, including certain issued patents and patent applications, and have filed and may file provisional and non-provisional patent applications in the United States or abroad related to our product candidates that are important to our business. Provisional patent applications are not eligible to become issued patents until, among other things, we file a non-provisional patent application within 12 months of the filing of one or more of our related provisional patent applications.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Moreover, the patent application and approval process is expensive and time-consuming. We may not be able to file and prosecute all necessary or desirable patent applications at a reasonable cost or in a timely manner.</w:t>
      </w:r>
    </w:p>
    <w:p>
      <w:pPr>
        <w:spacing w:after="0" w:line="177" w:lineRule="exact"/>
        <w:rPr>
          <w:sz w:val="20"/>
          <w:szCs w:val="20"/>
          <w:color w:val="auto"/>
        </w:rPr>
      </w:pPr>
    </w:p>
    <w:p>
      <w:pPr>
        <w:ind w:right="240" w:firstLine="480"/>
        <w:spacing w:after="0" w:line="248" w:lineRule="auto"/>
        <w:rPr>
          <w:sz w:val="20"/>
          <w:szCs w:val="20"/>
          <w:color w:val="auto"/>
        </w:rPr>
      </w:pPr>
      <w:r>
        <w:rPr>
          <w:rFonts w:ascii="Times New Roman" w:cs="Times New Roman" w:eastAsia="Times New Roman" w:hAnsi="Times New Roman"/>
          <w:sz w:val="20"/>
          <w:szCs w:val="20"/>
          <w:color w:val="auto"/>
        </w:rPr>
        <w:t>The patent application, prosecution, and enforcement processes are subject to numerous risks and uncertainties, and there can be no assurance that we, our licensors, or any of our future collaborators will be successful in protecting our product candidates by obtaining, defending, and/or asserting patent rights. These risks and uncertainties include the following:</w:t>
      </w:r>
    </w:p>
    <w:p>
      <w:pPr>
        <w:spacing w:after="0" w:line="169" w:lineRule="exact"/>
        <w:rPr>
          <w:sz w:val="20"/>
          <w:szCs w:val="20"/>
          <w:color w:val="auto"/>
        </w:rPr>
      </w:pPr>
    </w:p>
    <w:p>
      <w:pPr>
        <w:jc w:val="both"/>
        <w:ind w:left="960" w:right="80" w:hanging="480"/>
        <w:spacing w:after="0" w:line="263" w:lineRule="auto"/>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U.S. Patent and Trademark Office (the “USPTO”) and various foreign governmental patent agencies require compliance with a number of procedural, documentary, fee payment and other provisions during the patent process. There are situations in which noncompliance can result in abandonment or lapse</w:t>
      </w:r>
    </w:p>
    <w:p>
      <w:pPr>
        <w:spacing w:after="0" w:line="1" w:lineRule="exact"/>
        <w:rPr>
          <w:rFonts w:ascii="Times New Roman" w:cs="Times New Roman" w:eastAsia="Times New Roman" w:hAnsi="Times New Roman"/>
          <w:sz w:val="19"/>
          <w:szCs w:val="19"/>
          <w:color w:val="auto"/>
        </w:rPr>
      </w:pPr>
    </w:p>
    <w:p>
      <w:pPr>
        <w:ind w:left="960" w:right="4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of a patent or patent application, resulting in partial or complete loss of patent rights in the relevant jurisdiction. In such an event, competitors might be able to enter the market earlier than would otherwise have been the case;</w:t>
      </w:r>
    </w:p>
    <w:p>
      <w:pPr>
        <w:spacing w:after="0" w:line="166"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applications may not result in any patents being issued;</w:t>
      </w:r>
    </w:p>
    <w:p>
      <w:pPr>
        <w:spacing w:after="0" w:line="176" w:lineRule="exact"/>
        <w:rPr>
          <w:rFonts w:ascii="Times New Roman" w:cs="Times New Roman" w:eastAsia="Times New Roman" w:hAnsi="Times New Roman"/>
          <w:sz w:val="20"/>
          <w:szCs w:val="20"/>
          <w:color w:val="auto"/>
        </w:rPr>
      </w:pPr>
    </w:p>
    <w:p>
      <w:pPr>
        <w:ind w:left="960" w:right="520" w:hanging="480"/>
        <w:spacing w:after="0" w:line="268" w:lineRule="auto"/>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patents that may be issued or in-licensed may be challenged, invalidated, modified, revoked, circumvented, found to be unenforceable or otherwise may not provide any competitive advantage;</w:t>
      </w:r>
    </w:p>
    <w:p>
      <w:pPr>
        <w:spacing w:after="0" w:line="152" w:lineRule="exact"/>
        <w:rPr>
          <w:rFonts w:ascii="Times New Roman" w:cs="Times New Roman" w:eastAsia="Times New Roman" w:hAnsi="Times New Roman"/>
          <w:sz w:val="19"/>
          <w:szCs w:val="19"/>
          <w:color w:val="auto"/>
        </w:rPr>
      </w:pPr>
    </w:p>
    <w:p>
      <w:pPr>
        <w:ind w:left="960" w:right="140" w:hanging="480"/>
        <w:spacing w:after="0" w:line="266" w:lineRule="auto"/>
        <w:tabs>
          <w:tab w:leader="none" w:pos="9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competitors, many of whom have substantially greater resources and many of whom have made significant investments in competing technologies, may seek or may have already obtained patents that will limit, interfere with or eliminate our ability to make, use, and sell our potential product candidates;</w:t>
      </w:r>
    </w:p>
    <w:p>
      <w:pPr>
        <w:sectPr>
          <w:pgSz w:w="12240" w:h="15840" w:orient="portrait"/>
          <w:cols w:equalWidth="0" w:num="1">
            <w:col w:w="9360"/>
          </w:cols>
          <w:pgMar w:left="1440" w:top="948" w:right="1440" w:bottom="348"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948" w:right="1440" w:bottom="348" w:gutter="0" w:footer="0" w:header="0"/>
          <w:type w:val="continuous"/>
        </w:sectPr>
      </w:pPr>
    </w:p>
    <w:bookmarkStart w:id="61" w:name="page62"/>
    <w:bookmarkEnd w:id="61"/>
    <w:p>
      <w:pPr>
        <w:jc w:val="both"/>
        <w:ind w:left="960" w:right="60" w:hanging="480"/>
        <w:spacing w:after="0" w:line="246"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72" w:lineRule="exact"/>
        <w:rPr>
          <w:rFonts w:ascii="Times New Roman" w:cs="Times New Roman" w:eastAsia="Times New Roman" w:hAnsi="Times New Roman"/>
          <w:sz w:val="20"/>
          <w:szCs w:val="20"/>
          <w:color w:val="auto"/>
        </w:rPr>
      </w:pPr>
    </w:p>
    <w:p>
      <w:pPr>
        <w:ind w:left="960" w:right="240" w:hanging="480"/>
        <w:spacing w:after="0" w:line="246" w:lineRule="auto"/>
        <w:tabs>
          <w:tab w:leader="none" w:pos="9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3"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In some instances, agreements through which we license intellectual property rights may not give us control over patent prosecution or maintenance, so that we may not be able to control which claims or arguments are presented, how claims are amended, and may not be able to secure, maintain or successfully enforce necessary or desirable patent protection from those patent rights. We cannot be certain that patent prosecution and maintenance activities by our licensors have been or will be conducted in compliance with applicable laws and regulations or will result in valid and enforceable patents.</w:t>
      </w:r>
    </w:p>
    <w:p>
      <w:pPr>
        <w:spacing w:after="0" w:line="168" w:lineRule="exact"/>
        <w:rPr>
          <w:sz w:val="20"/>
          <w:szCs w:val="20"/>
          <w:color w:val="auto"/>
        </w:rPr>
      </w:pPr>
    </w:p>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Moreover, some of our in-licensed patents and patent applications may be, and some of our future owned and licensed patents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251"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b w:val="1"/>
          <w:bCs w:val="1"/>
          <w:i w:val="1"/>
          <w:iCs w:val="1"/>
          <w:color w:val="auto"/>
        </w:rPr>
        <w:t>The patent protection we obtain for our product candidates may not be sufficient enough to provide us with any competitive advantage or our patents may be challenged.</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Our owned and licensed patents and pending patent applications, if issued, may not provide us with any meaningful protection or may not prevent competitors from designing around our patent claims to circumvent our patents by developing similar or alternative technologies or therapeutics in a non-infringing manner. For example, a third party may develop a competitive product that provides benefits similar to one or more of our product candidates but falls outside the scope of our patent protection or license rights.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Currently, a significant portion of our patents and patent applications are in-licensed, though similar risks would apply to any patents or patent applications that we now own or may own or in-license in the future.</w:t>
      </w:r>
    </w:p>
    <w:p>
      <w:pPr>
        <w:spacing w:after="0" w:line="174"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74" w:lineRule="exact"/>
        <w:rPr>
          <w:sz w:val="20"/>
          <w:szCs w:val="20"/>
          <w:color w:val="auto"/>
        </w:rPr>
      </w:pPr>
    </w:p>
    <w:p>
      <w:pPr>
        <w:ind w:right="200" w:firstLine="480"/>
        <w:spacing w:after="0" w:line="265" w:lineRule="auto"/>
        <w:rPr>
          <w:sz w:val="20"/>
          <w:szCs w:val="20"/>
          <w:color w:val="auto"/>
        </w:rPr>
      </w:pPr>
      <w:r>
        <w:rPr>
          <w:rFonts w:ascii="Times New Roman" w:cs="Times New Roman" w:eastAsia="Times New Roman" w:hAnsi="Times New Roman"/>
          <w:sz w:val="19"/>
          <w:szCs w:val="19"/>
          <w:color w:val="auto"/>
        </w:rPr>
        <w:t>In addition, the determination of patent rights with respect to clinical compositions of matter and treatment methods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spacing w:after="0" w:line="155"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significant commercial markets such as Europe, restrict the patentability of methods of treatment of the human body more than U.S. law does. If these changes were to occur, they could have a material adverse effect on our ability to generate revenue.</w:t>
      </w:r>
    </w:p>
    <w:p>
      <w:pPr>
        <w:sectPr>
          <w:pgSz w:w="12240" w:h="15840" w:orient="portrait"/>
          <w:cols w:equalWidth="0" w:num="1">
            <w:col w:w="9360"/>
          </w:cols>
          <w:pgMar w:left="1440" w:top="948" w:right="1440" w:bottom="348"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948" w:right="1440" w:bottom="348" w:gutter="0" w:footer="0" w:header="0"/>
          <w:type w:val="continuous"/>
        </w:sectPr>
      </w:pPr>
    </w:p>
    <w:bookmarkStart w:id="62" w:name="page63"/>
    <w:bookmarkEnd w:id="62"/>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party to file a patent application is generally entitled to the patent. However, prior to March 16, 2013, in the United States, the first party to invent was entitled to the patent. Publications</w:t>
      </w:r>
    </w:p>
    <w:p>
      <w:pPr>
        <w:spacing w:after="0" w:line="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patents or applications that were filed on or before March 15, 2013, an interference proceeding in the United States can be initiated by such third parties to determine who was the first to invent any of the subject matter covered by the patent claims of our applications. If third parties have filed such prior applications after March 15, 2013, a derivation proceeding in the United States can be initiated by such third parties to determine whether our invention was derived from theirs.</w:t>
      </w:r>
    </w:p>
    <w:p>
      <w:pPr>
        <w:spacing w:after="0" w:line="175"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9"/>
          <w:szCs w:val="19"/>
          <w:color w:val="auto"/>
        </w:rPr>
        <w:t>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Alternately or additionally, we may become involved in post-grant review procedures, oppositions, derivation proceedings, ex parte reexaminations, inter parties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For example, the two European patents we have licensed from Stanford are currently being opposed. An adverse determination in these oppositions or any other challenges to our patents or patent applications may result in loss of the patent or in patent claims being narrowed, invalidated or held unenforceable, in whole or in part, or in denial of the patent application or loss or reduction in the scope of one or more claims of the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171"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may also seek approval to market their own products similar to or otherwise competitive with our products. Alternatively, our competitors may seek to market generic versions of any approved products or pursue similar strategies in the United States or other jurisdictions, in which they claim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business, financial condition, results of operations and prospects.</w:t>
      </w:r>
    </w:p>
    <w:p>
      <w:pPr>
        <w:spacing w:after="0" w:line="178" w:lineRule="exact"/>
        <w:rPr>
          <w:sz w:val="20"/>
          <w:szCs w:val="20"/>
          <w:color w:val="auto"/>
        </w:rPr>
      </w:pPr>
    </w:p>
    <w:p>
      <w:pPr>
        <w:ind w:right="80" w:firstLine="480"/>
        <w:spacing w:after="0" w:line="264" w:lineRule="auto"/>
        <w:rPr>
          <w:sz w:val="20"/>
          <w:szCs w:val="20"/>
          <w:color w:val="auto"/>
        </w:rPr>
      </w:pPr>
      <w:r>
        <w:rPr>
          <w:rFonts w:ascii="Times New Roman" w:cs="Times New Roman" w:eastAsia="Times New Roman" w:hAnsi="Times New Roman"/>
          <w:sz w:val="19"/>
          <w:szCs w:val="19"/>
          <w:color w:val="auto"/>
        </w:rPr>
        <w:t>Other parties have developed or may develop technologies that may be related to or competitive with our approach, and may have filed or may file patent applications and may have been issued or may be issued patents with claims that overlap or conflict with our patent applications, either by claiming the same materials, formulations or methods, or by claiming subject matter that could dominate our patent position. In addition, certain parts or all of the patent portfolios licensed to us are, or may be, licensed to third parties and such third parties may have or may obtain certain enforcement rights. If the scope of the patent protection we or our licensors obtain is not sufficiently broad, we may not be able to prevent others from developing and commercializing technology and products similar or identical to ours. The degree of patent protection we require to successfully compete in the marketplace may be</w:t>
      </w:r>
    </w:p>
    <w:p>
      <w:pPr>
        <w:sectPr>
          <w:pgSz w:w="12240" w:h="15840" w:orient="portrait"/>
          <w:cols w:equalWidth="0" w:num="1">
            <w:col w:w="9360"/>
          </w:cols>
          <w:pgMar w:left="1440" w:top="948" w:right="1440" w:bottom="348"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948" w:right="1440" w:bottom="348" w:gutter="0" w:footer="0" w:header="0"/>
          <w:type w:val="continuous"/>
        </w:sectPr>
      </w:pPr>
    </w:p>
    <w:bookmarkStart w:id="63" w:name="page64"/>
    <w:bookmarkEnd w:id="63"/>
    <w:p>
      <w:pPr>
        <w:ind w:right="80"/>
        <w:spacing w:after="0" w:line="248" w:lineRule="auto"/>
        <w:rPr>
          <w:sz w:val="20"/>
          <w:szCs w:val="20"/>
          <w:color w:val="auto"/>
        </w:rPr>
      </w:pPr>
      <w:r>
        <w:rPr>
          <w:rFonts w:ascii="Times New Roman" w:cs="Times New Roman" w:eastAsia="Times New Roman" w:hAnsi="Times New Roman"/>
          <w:sz w:val="20"/>
          <w:szCs w:val="20"/>
          <w:color w:val="auto"/>
        </w:rPr>
        <w:t>unavailable or severely limited in some cases and may not adequately protect our rights or permit us to gain or keep any competitive advantage. We cannot provide any assurances that any of our licensed patents have, or that any of our pending owned or licensed patent applications that mature into issued patents will include, claims with a scope sufficient to protect our product candidates or otherwise provide any competitive advantage, nor can we provide any assurance that our licenses will remain in force.</w:t>
      </w:r>
    </w:p>
    <w:p>
      <w:pPr>
        <w:spacing w:after="0" w:line="172" w:lineRule="exact"/>
        <w:rPr>
          <w:sz w:val="20"/>
          <w:szCs w:val="20"/>
          <w:color w:val="auto"/>
        </w:rPr>
      </w:pPr>
    </w:p>
    <w:p>
      <w:pPr>
        <w:ind w:right="220" w:firstLine="480"/>
        <w:spacing w:after="0" w:line="248" w:lineRule="auto"/>
        <w:rPr>
          <w:sz w:val="20"/>
          <w:szCs w:val="20"/>
          <w:color w:val="auto"/>
        </w:rPr>
      </w:pPr>
      <w:r>
        <w:rPr>
          <w:rFonts w:ascii="Times New Roman" w:cs="Times New Roman" w:eastAsia="Times New Roman" w:hAnsi="Times New Roman"/>
          <w:sz w:val="20"/>
          <w:szCs w:val="20"/>
          <w:color w:val="auto"/>
        </w:rPr>
        <w:t>In addition,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w:t>
      </w:r>
    </w:p>
    <w:p>
      <w:pPr>
        <w:spacing w:after="0" w:line="254"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3"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earlier than would otherwise have been the case, which would have a material adverse effect on our business, financial condition, results of operations, and prospects.</w:t>
      </w:r>
    </w:p>
    <w:p>
      <w:pPr>
        <w:spacing w:after="0" w:line="258"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may be harmed.</w:t>
      </w:r>
    </w:p>
    <w:p>
      <w:pPr>
        <w:spacing w:after="0" w:line="177"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20"/>
          <w:szCs w:val="20"/>
          <w:color w:val="auto"/>
        </w:rPr>
        <w:t>In addition to the protection afforded by patents, we rely upon trade secret protection, know-how and continuing technological innovation to develop and maintain our competitive position. We seek to protect our proprietary technology and processes, in part, by entering into confidentiality agreements with our contractors, collaborators, scientific advisors, employees and consultants and invention assignment agreements with our consultants and employees. However, we may not obtain these agreements in all circumstances, and individuals with whom we have these agreements may not comply with their terms. The assignment of intellectual property rights under these agreements may not be self-executing or the assignment agreements may be breached, and we may be forced to bring claims against third parties, or defend claims that they may bring against us, to determine the ownership of what we regard as our intellectual property. In addition, we may not be able to prevent the unauthorized disclosure or use of our technical know-how or other trade secrets by the parties to these agreements despite the existence of confidentiality agreements and other contractual restrictions. Monitoring unauthorized uses and disclosures is difficult and we do not know whether the steps we have taken to protect our proprietary technologies will be effective. If any of the contractors, collaborators, scientific advisors, employees and consultants who are parties to these agreements breaches or violates the terms of any of these agreements, we may not have adequate remedies for any such breach or violation. As a result, we could lose our trade secrets. Enforcing a claim against a third party that illegally obtained and is using our trade secrets, like patent litigation, is expensive and time-consuming and the outcome is unpredictable. In addition, courts outside the United States are sometimes less willing or unwilling to protect trade secrets. Any of the foregoing could have a material adverse effect on our business, financial condition, results of operations, and prospects.</w:t>
      </w:r>
    </w:p>
    <w:p>
      <w:pPr>
        <w:spacing w:after="0" w:line="168"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color w:val="auto"/>
        </w:rPr>
        <w:t>Moreover, our trade secrets could otherwise become known or be independently discovered by our competitors or other third parties.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or other third party, we would have no right to prevent them, or those to whom they communicate it, from using</w:t>
      </w:r>
    </w:p>
    <w:p>
      <w:pPr>
        <w:sectPr>
          <w:pgSz w:w="12240" w:h="15840" w:orient="portrait"/>
          <w:cols w:equalWidth="0" w:num="1">
            <w:col w:w="9360"/>
          </w:cols>
          <w:pgMar w:left="1440" w:top="948" w:right="1440" w:bottom="348"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948" w:right="1440" w:bottom="348" w:gutter="0" w:footer="0" w:header="0"/>
          <w:type w:val="continuous"/>
        </w:sectPr>
      </w:pPr>
    </w:p>
    <w:bookmarkStart w:id="64" w:name="page65"/>
    <w:bookmarkEnd w:id="64"/>
    <w:p>
      <w:pPr>
        <w:ind w:right="420"/>
        <w:spacing w:after="0" w:line="248" w:lineRule="auto"/>
        <w:rPr>
          <w:sz w:val="20"/>
          <w:szCs w:val="20"/>
          <w:color w:val="auto"/>
        </w:rPr>
      </w:pPr>
      <w:r>
        <w:rPr>
          <w:rFonts w:ascii="Times New Roman" w:cs="Times New Roman" w:eastAsia="Times New Roman" w:hAnsi="Times New Roman"/>
          <w:sz w:val="20"/>
          <w:szCs w:val="20"/>
          <w:color w:val="auto"/>
        </w:rPr>
        <w:t>that technology or information to compete with us. If our trade secrets are not adequately protected or sufficient to provide an advantage over our competitors, our competitive position could be adversely affected, as could our business. Additionally, if the steps taken to maintain our trade secrets are deemed inadequate, we may have insufficient recourse against third parties for misappropriating our trade secrets.</w:t>
      </w:r>
    </w:p>
    <w:p>
      <w:pPr>
        <w:spacing w:after="0" w:line="252" w:lineRule="exact"/>
        <w:rPr>
          <w:sz w:val="20"/>
          <w:szCs w:val="20"/>
          <w:color w:val="auto"/>
        </w:rPr>
      </w:pPr>
    </w:p>
    <w:p>
      <w:pPr>
        <w:ind w:right="860"/>
        <w:spacing w:after="0"/>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 Our company name and logo, as well as our product candidate names “briquilimab”, “JSP191”, and “JSP502”, are not registered trademarks. If we seek to register any of our trademarks, 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acquiring or in-licensing necessary rights to key technologies underlying briquilimab or any future product candidates we may develop.</w:t>
      </w:r>
    </w:p>
    <w:p>
      <w:pPr>
        <w:spacing w:after="0" w:line="17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We currently have rights to intellectual property, through licenses from third parties, to develop briquilimab, and we expect to seek to expand our intellectual property footprint related to our product candidate pipeline in part by in-licensing the rights to key technologies. The future growth of our business will depend in part on our ability to in-license or otherwise acquire the rights to develop additional product candidates and technologies. Although we have succeeded in licensing technologies from third-party licensors, including Amgen Inc. and Stanford, in the past, we can give no assurance that we will be able to in-license or acquire the rights to other technologies relevant to our product candidates from third parties on acceptable terms or at all.</w:t>
      </w:r>
    </w:p>
    <w:p>
      <w:pPr>
        <w:spacing w:after="0" w:line="170" w:lineRule="exact"/>
        <w:rPr>
          <w:sz w:val="20"/>
          <w:szCs w:val="20"/>
          <w:color w:val="auto"/>
        </w:rPr>
      </w:pPr>
    </w:p>
    <w:p>
      <w:pPr>
        <w:ind w:right="100" w:firstLine="480"/>
        <w:spacing w:after="0" w:line="265" w:lineRule="auto"/>
        <w:rPr>
          <w:sz w:val="20"/>
          <w:szCs w:val="20"/>
          <w:color w:val="auto"/>
        </w:rPr>
      </w:pPr>
      <w:r>
        <w:rPr>
          <w:rFonts w:ascii="Times New Roman" w:cs="Times New Roman" w:eastAsia="Times New Roman" w:hAnsi="Times New Roman"/>
          <w:sz w:val="19"/>
          <w:szCs w:val="19"/>
          <w:color w:val="auto"/>
        </w:rPr>
        <w:t>In order to market our product candidates, we may find it necessary or prudent to obtain licenses from such third-party intellectual property holders. However, it may be unclear who owns the rights to intellectual property we wish to obtain, or we may be unable to secure such licenses or otherwise acquire or in-license intellectual property rights from third parties that we identify as necessary for product candidates we may develop and technology we</w:t>
      </w:r>
    </w:p>
    <w:p>
      <w:pPr>
        <w:sectPr>
          <w:pgSz w:w="12240" w:h="15840" w:orient="portrait"/>
          <w:cols w:equalWidth="0" w:num="1">
            <w:col w:w="9360"/>
          </w:cols>
          <w:pgMar w:left="1440" w:top="948" w:right="1440" w:bottom="348"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948" w:right="1440" w:bottom="348" w:gutter="0" w:footer="0" w:header="0"/>
          <w:type w:val="continuous"/>
        </w:sectPr>
      </w:pPr>
    </w:p>
    <w:bookmarkStart w:id="65" w:name="page66"/>
    <w:bookmarkEnd w:id="65"/>
    <w:p>
      <w:pPr>
        <w:ind w:right="20"/>
        <w:spacing w:after="0" w:line="266" w:lineRule="auto"/>
        <w:rPr>
          <w:sz w:val="20"/>
          <w:szCs w:val="20"/>
          <w:color w:val="auto"/>
        </w:rPr>
      </w:pPr>
      <w:r>
        <w:rPr>
          <w:rFonts w:ascii="Times New Roman" w:cs="Times New Roman" w:eastAsia="Times New Roman" w:hAnsi="Times New Roman"/>
          <w:sz w:val="19"/>
          <w:szCs w:val="19"/>
          <w:color w:val="auto"/>
        </w:rPr>
        <w:t>employ. We currently conduct our preclinical research and clinical trials under 35 U.S.C. § 271(e)(1), which provides a safe harbor from patent infringement for uses of patented technology reasonably related to the development and submission of information under a federal law which regulates the manufacture, use, or sale of drugs.</w:t>
      </w:r>
    </w:p>
    <w:p>
      <w:pPr>
        <w:spacing w:after="0" w:line="154"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The licensing or acquisition of third-party intellectual property rights is a highly competitive area, and other companies may pursue strategies to license or acquire third-party intellectual property rights that we may consider attractive or necessary. Such companies may have a competitive advantage over us, e.g.,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w:t>
      </w:r>
    </w:p>
    <w:p>
      <w:pPr>
        <w:spacing w:after="0" w:line="5" w:lineRule="exact"/>
        <w:rPr>
          <w:sz w:val="20"/>
          <w:szCs w:val="20"/>
          <w:color w:val="auto"/>
        </w:rPr>
      </w:pPr>
    </w:p>
    <w:p>
      <w:pPr>
        <w:ind w:right="460"/>
        <w:spacing w:after="0" w:line="243" w:lineRule="auto"/>
        <w:rPr>
          <w:sz w:val="20"/>
          <w:szCs w:val="20"/>
          <w:color w:val="auto"/>
        </w:rPr>
      </w:pPr>
      <w:r>
        <w:rPr>
          <w:rFonts w:ascii="Times New Roman" w:cs="Times New Roman" w:eastAsia="Times New Roman" w:hAnsi="Times New Roman"/>
          <w:sz w:val="20"/>
          <w:szCs w:val="20"/>
          <w:color w:val="auto"/>
        </w:rPr>
        <w:t>or product candidate, which could have a material adverse effect on our business, financial condition, results of operations and prospects.</w:t>
      </w:r>
    </w:p>
    <w:p>
      <w:pPr>
        <w:spacing w:after="0" w:line="174" w:lineRule="exact"/>
        <w:rPr>
          <w:sz w:val="20"/>
          <w:szCs w:val="20"/>
          <w:color w:val="auto"/>
        </w:rPr>
      </w:pPr>
    </w:p>
    <w:p>
      <w:pPr>
        <w:ind w:right="600" w:firstLine="480"/>
        <w:spacing w:after="0" w:line="264" w:lineRule="auto"/>
        <w:rPr>
          <w:sz w:val="20"/>
          <w:szCs w:val="20"/>
          <w:color w:val="auto"/>
        </w:rPr>
      </w:pPr>
      <w:r>
        <w:rPr>
          <w:rFonts w:ascii="Times New Roman" w:cs="Times New Roman" w:eastAsia="Times New Roman" w:hAnsi="Times New Roman"/>
          <w:sz w:val="19"/>
          <w:szCs w:val="19"/>
          <w:color w:val="auto"/>
        </w:rPr>
        <w:t>Even if we were able to obtain such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product candidates or such commercialization efforts may be significantly delayed, which could in turn significantly harm our business.</w:t>
      </w:r>
    </w:p>
    <w:p>
      <w:pPr>
        <w:spacing w:after="0" w:line="241"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20"/>
          <w:szCs w:val="20"/>
          <w:b w:val="1"/>
          <w:bCs w:val="1"/>
          <w:i w:val="1"/>
          <w:iCs w:val="1"/>
          <w:color w:val="auto"/>
        </w:rPr>
        <w:t>Third-party claims of intellectual property infringement, misappropriation or other violations may prevent or delay our product discovery and development efforts and have a material adverse effect on our business.</w:t>
      </w:r>
    </w:p>
    <w:p>
      <w:pPr>
        <w:spacing w:after="0" w:line="177"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 xml:space="preserve">Our commercial success depends in part on us avoiding infringement, misappropriation and other violations of the patents and proprietary rights of third parties. There is a substantial amount of litigation involving patents and other intellectual property rights in the biotechnology and pharmaceutical industries, as well as administrative proceedings for challenging patents, including interference and reexamination proceedings before the USPTO or oppositions and other comparable proceedings in foreign jurisdictions. Recently, under U.S. patent reform, new procedures including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and post grant review have been implemented. This reform will bring uncertainty to the possibility of challenge to our patents in the future. Numerous U.S.-and foreign-issued patents and pending patent applications, which are owned by third parties, exist in the fields in which we are developing our product candidates, and third parties may allege they have patent rights encompassing our product candidates, technologies or methods. Third parties may assert that we are employing their proprietary technology without authorization and may file patent infringement claims or lawsuits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200" w:lineRule="exact"/>
        <w:rPr>
          <w:sz w:val="20"/>
          <w:szCs w:val="20"/>
          <w:color w:val="auto"/>
        </w:rPr>
      </w:pPr>
    </w:p>
    <w:p>
      <w:pPr>
        <w:spacing w:after="0" w:line="218"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20"/>
          <w:szCs w:val="20"/>
          <w:color w:val="auto"/>
        </w:rPr>
        <w:t>There may be third-party patents with patent rights to materials, formulations, methods of manufacture or methods of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Further, we or our licensors may fail to identify even those relevant third-party patents that have issued or may incorrectly interpret the relevance, scope or expiration of such patents. The scope of a patent claim is determined by an interpretation of the law, the written disclosure in a patent and the patent’s prosecution history. Our interpretation of the relevance or scope of a patent or a pending application may be incorrect. If any third-party patents were held by a court of competent jurisdiction to cover the manufacturing process of our product candidates, materials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materials, formulations or methods, including without limitation,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948" w:right="1440" w:bottom="348" w:gutter="0" w:footer="0" w:header="0"/>
          <w:type w:val="continuous"/>
        </w:sectPr>
      </w:pPr>
    </w:p>
    <w:bookmarkStart w:id="66" w:name="page67"/>
    <w:bookmarkEnd w:id="66"/>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involve a substantial diversion of employee resources from our business. We may not have sufficient resources to bring these actions to a successful conclusion, which may result in significant cost and may impede our inability to pursue any affected products or product candidates.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1" w:lineRule="exact"/>
        <w:rPr>
          <w:sz w:val="20"/>
          <w:szCs w:val="20"/>
          <w:color w:val="auto"/>
        </w:rPr>
      </w:pPr>
    </w:p>
    <w:p>
      <w:pPr>
        <w:ind w:right="60" w:firstLine="480"/>
        <w:spacing w:after="0" w:line="248" w:lineRule="auto"/>
        <w:rPr>
          <w:sz w:val="20"/>
          <w:szCs w:val="20"/>
          <w:color w:val="auto"/>
        </w:rPr>
      </w:pPr>
      <w:r>
        <w:rPr>
          <w:rFonts w:ascii="Times New Roman" w:cs="Times New Roman" w:eastAsia="Times New Roman" w:hAnsi="Times New Roman"/>
          <w:sz w:val="20"/>
          <w:szCs w:val="20"/>
          <w:color w:val="auto"/>
        </w:rPr>
        <w:t>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252" w:lineRule="exact"/>
        <w:rPr>
          <w:sz w:val="20"/>
          <w:szCs w:val="20"/>
          <w:color w:val="auto"/>
        </w:rPr>
      </w:pPr>
    </w:p>
    <w:p>
      <w:pPr>
        <w:ind w:right="6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Some intellectual property that we have in-licensed may have been discovered through government-funded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1"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Any of the intellectual property rights that we have licensed or may license in the future and that have been generated through the use of U.S. government funding are subject to certain federal regulations. As a result, the U.S. government may have certain rights to intellectual property embodied in our current or future product candidates pursuant to the Bayh-Dole Act of 1980 (“Bayh-Dole Act”). These U.S. government rights in certain inventions developed under a government-funded program include a non-exclusive, non-transferable, irrevocable worldwide license to use inventions for any governmental purpose. In addition, the U.S. government would have the right to require us to grant exclusive, partially exclusive, or non-exclusive licenses to any such intellectual property rights to a third party if it determines that:</w:t>
      </w:r>
    </w:p>
    <w:p>
      <w:pPr>
        <w:spacing w:after="0" w:line="164" w:lineRule="exact"/>
        <w:rPr>
          <w:sz w:val="20"/>
          <w:szCs w:val="20"/>
          <w:color w:val="auto"/>
        </w:rPr>
      </w:pPr>
    </w:p>
    <w:p>
      <w:pPr>
        <w:ind w:left="960" w:hanging="480"/>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steps have not been taken to commercialize the invention;</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action is necessary to meet public health or safety needs; or</w:t>
      </w:r>
    </w:p>
    <w:p>
      <w:pPr>
        <w:spacing w:after="0" w:line="176" w:lineRule="exact"/>
        <w:rPr>
          <w:rFonts w:ascii="Times New Roman" w:cs="Times New Roman" w:eastAsia="Times New Roman" w:hAnsi="Times New Roman"/>
          <w:sz w:val="20"/>
          <w:szCs w:val="20"/>
          <w:color w:val="auto"/>
        </w:rPr>
      </w:pPr>
    </w:p>
    <w:p>
      <w:pPr>
        <w:ind w:left="960" w:right="960" w:hanging="480"/>
        <w:spacing w:after="0" w:line="243" w:lineRule="auto"/>
        <w:tabs>
          <w:tab w:leader="none" w:pos="9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action is necessary to meet requirements for public use under federal regulations (also referred to as “march-in rights”).</w:t>
      </w:r>
    </w:p>
    <w:p>
      <w:pPr>
        <w:spacing w:after="0" w:line="174"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The U.S. government also has the right to take title to such intellectual property rights if we, or the applicable licensor, fail to disclose the invention to the government and fail to file an application to register the intellectual property within specified time limits. Intellectual property generated under a government-funded program is also subject to certain reporting requirements, compliance with which may require us or the applicable licensor to expend substantial resources. We cannot be certain that our current or future licensors will comply with the disclosure or reporting requirements of the Bayh-Dole Act at all times, or be able to rectify any lapse in compliance with these requirements.</w:t>
      </w:r>
    </w:p>
    <w:p>
      <w:pPr>
        <w:spacing w:after="0" w:line="170" w:lineRule="exact"/>
        <w:rPr>
          <w:sz w:val="20"/>
          <w:szCs w:val="20"/>
          <w:color w:val="auto"/>
        </w:rPr>
      </w:pPr>
    </w:p>
    <w:p>
      <w:pPr>
        <w:ind w:right="180" w:firstLine="480"/>
        <w:spacing w:after="0" w:line="249" w:lineRule="auto"/>
        <w:rPr>
          <w:sz w:val="20"/>
          <w:szCs w:val="20"/>
          <w:color w:val="auto"/>
        </w:rPr>
      </w:pPr>
      <w:r>
        <w:rPr>
          <w:rFonts w:ascii="Times New Roman" w:cs="Times New Roman" w:eastAsia="Times New Roman" w:hAnsi="Times New Roman"/>
          <w:sz w:val="20"/>
          <w:szCs w:val="20"/>
          <w:color w:val="auto"/>
        </w:rPr>
        <w:t>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55"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or other intellectual property, which could be expensive, time-consuming and unsuccessful.</w:t>
      </w:r>
    </w:p>
    <w:p>
      <w:pPr>
        <w:spacing w:after="0" w:line="177" w:lineRule="exact"/>
        <w:rPr>
          <w:sz w:val="20"/>
          <w:szCs w:val="20"/>
          <w:color w:val="auto"/>
        </w:rPr>
      </w:pPr>
    </w:p>
    <w:p>
      <w:pPr>
        <w:ind w:right="520" w:firstLine="480"/>
        <w:spacing w:after="0" w:line="266" w:lineRule="auto"/>
        <w:rPr>
          <w:sz w:val="20"/>
          <w:szCs w:val="20"/>
          <w:color w:val="auto"/>
        </w:rPr>
      </w:pPr>
      <w:r>
        <w:rPr>
          <w:rFonts w:ascii="Times New Roman" w:cs="Times New Roman" w:eastAsia="Times New Roman" w:hAnsi="Times New Roman"/>
          <w:sz w:val="19"/>
          <w:szCs w:val="19"/>
          <w:color w:val="auto"/>
        </w:rPr>
        <w:t>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w:t>
      </w:r>
    </w:p>
    <w:p>
      <w:pPr>
        <w:sectPr>
          <w:pgSz w:w="12240" w:h="15840" w:orient="portrait"/>
          <w:cols w:equalWidth="0" w:num="1">
            <w:col w:w="9360"/>
          </w:cols>
          <w:pgMar w:left="1440" w:top="948" w:right="1440" w:bottom="348"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948" w:right="1440" w:bottom="348" w:gutter="0" w:footer="0" w:header="0"/>
          <w:type w:val="continuous"/>
        </w:sectPr>
      </w:pPr>
    </w:p>
    <w:bookmarkStart w:id="67" w:name="page68"/>
    <w:bookmarkEnd w:id="67"/>
    <w:p>
      <w:pPr>
        <w:ind w:right="120"/>
        <w:spacing w:after="0" w:line="264" w:lineRule="auto"/>
        <w:rPr>
          <w:sz w:val="20"/>
          <w:szCs w:val="20"/>
          <w:color w:val="auto"/>
        </w:rPr>
      </w:pPr>
      <w:r>
        <w:rPr>
          <w:rFonts w:ascii="Times New Roman" w:cs="Times New Roman" w:eastAsia="Times New Roman" w:hAnsi="Times New Roman"/>
          <w:sz w:val="19"/>
          <w:szCs w:val="19"/>
          <w:color w:val="auto"/>
        </w:rPr>
        <w:t>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56"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Any of the foregoing may have a material adverse effect on our business, financial condition, results of operations and prospects.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drugs and may export otherwise infringing drugs to territories where we have patent protection, but enforcement rights are not as strong as those in the United States. These drugs may compete with our product candidates and our patents or other intellectual property rights may not be effective or sufficient to prevent them from competing.</w:t>
      </w:r>
    </w:p>
    <w:p>
      <w:pPr>
        <w:spacing w:after="0" w:line="175"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71" w:lineRule="exact"/>
        <w:rPr>
          <w:sz w:val="20"/>
          <w:szCs w:val="20"/>
          <w:color w:val="auto"/>
        </w:rPr>
      </w:pPr>
    </w:p>
    <w:p>
      <w:pPr>
        <w:ind w:right="80" w:firstLine="480"/>
        <w:spacing w:after="0" w:line="264" w:lineRule="auto"/>
        <w:rPr>
          <w:sz w:val="20"/>
          <w:szCs w:val="20"/>
          <w:color w:val="auto"/>
        </w:rPr>
      </w:pPr>
      <w:r>
        <w:rPr>
          <w:rFonts w:ascii="Times New Roman" w:cs="Times New Roman" w:eastAsia="Times New Roman" w:hAnsi="Times New Roman"/>
          <w:sz w:val="19"/>
          <w:szCs w:val="19"/>
          <w:color w:val="auto"/>
        </w:rPr>
        <w:t>Many countries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948" w:right="1440" w:bottom="348" w:gutter="0" w:footer="0" w:header="0"/>
          <w:type w:val="continuous"/>
        </w:sectPr>
      </w:pPr>
    </w:p>
    <w:bookmarkStart w:id="68" w:name="page69"/>
    <w:bookmarkEnd w:id="68"/>
    <w:p>
      <w:pPr>
        <w:jc w:val="both"/>
        <w:ind w:right="200"/>
        <w:spacing w:after="0" w:line="246" w:lineRule="auto"/>
        <w:rPr>
          <w:sz w:val="20"/>
          <w:szCs w:val="20"/>
          <w:color w:val="auto"/>
        </w:rPr>
      </w:pPr>
      <w:r>
        <w:rPr>
          <w:rFonts w:ascii="Times New Roman" w:cs="Times New Roman" w:eastAsia="Times New Roman" w:hAnsi="Times New Roman"/>
          <w:sz w:val="20"/>
          <w:szCs w:val="20"/>
          <w:color w:val="auto"/>
        </w:rPr>
        <w:t>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25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and data exclusivity for briquilimab or any other product candidates we may develop, our business may be materially harmed.</w:t>
      </w:r>
    </w:p>
    <w:p>
      <w:pPr>
        <w:spacing w:after="0" w:line="1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Depending upon the timing, duration and conditions of any FDA marketing approval of our product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candidates, one or more of our U.S. patents may be eligible for limited patent term extension under the Drug Price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Competition and Patent Term Restoration Act of 1984, referred to as the Hatch-Waxman Amendments, and similar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legislation in the European Union. The Hatch-Waxman Amendments permit a patent term extension of up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five years for a patent covering an approved product as compensation for effective patent term lost during product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development and the FDA regulatory review process. However, we may not receive an extension if we fail to exercise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due diligence during the testing phase or regulatory review process, fail to apply within applicable deadlines, fail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apply prior to expiration of relevant patents or otherwise fail to satisfy applicable requirements. Moreover, the length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the extension could be less than we request. Only one patent per approved product can be extended; the extension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cannot extend the total patent term beyond 14 years from approval; and only those claims covering the approved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drug, a method for using it or a method for manufacturing it may be extended. If we are unable to obtain patent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extension or the term of any such extension is less than we request, the period during which we can enforce</w:t>
      </w:r>
    </w:p>
    <w:p>
      <w:pPr>
        <w:spacing w:after="0" w:line="1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9"/>
          <w:szCs w:val="19"/>
          <w:color w:val="auto"/>
        </w:rPr>
        <w:t>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241" w:lineRule="exact"/>
        <w:rPr>
          <w:sz w:val="20"/>
          <w:szCs w:val="20"/>
          <w:color w:val="auto"/>
        </w:rPr>
      </w:pPr>
    </w:p>
    <w:p>
      <w:pPr>
        <w:ind w:right="660"/>
        <w:spacing w:after="0"/>
        <w:rPr>
          <w:sz w:val="20"/>
          <w:szCs w:val="20"/>
          <w:color w:val="auto"/>
        </w:rPr>
      </w:pPr>
      <w:r>
        <w:rPr>
          <w:rFonts w:ascii="Times New Roman" w:cs="Times New Roman" w:eastAsia="Times New Roman" w:hAnsi="Times New Roman"/>
          <w:sz w:val="20"/>
          <w:szCs w:val="20"/>
          <w:b w:val="1"/>
          <w:bCs w:val="1"/>
          <w:i w:val="1"/>
          <w:iCs w:val="1"/>
          <w:color w:val="auto"/>
        </w:rPr>
        <w:t>Third parties may assert that our employees or consultants have wrongfully used or disclosed confidential information or misappropriated trade secrets.</w:t>
      </w:r>
    </w:p>
    <w:p>
      <w:pPr>
        <w:spacing w:after="0" w:line="177"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We employ individuals who were previously employed at universities or other biopharmaceutical companies, including our competitors or potential competitors, and we may in the future be subject to claims that former employees, consultants, or other third parties have an interest in our patents or other intellectual property as an inventor, co-inventor, or owner of trade secrets. Although it is our policy to require our employees and consultants who may be involved in the conception or development of intellectual property to execute agreements assigning that intellectual property to us, we may be unsuccessful in executing such an agreement with each party who conceives or develops intellectual property that we regard as our own or such party may breach the assignment agreement, or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Any of the foregoing would harm our business, financial condition, results of operations, and prospects.</w:t>
      </w:r>
    </w:p>
    <w:p>
      <w:pPr>
        <w:spacing w:after="0" w:line="265"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0"/>
          <w:szCs w:val="20"/>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77" w:lineRule="exact"/>
        <w:rPr>
          <w:sz w:val="20"/>
          <w:szCs w:val="20"/>
          <w:color w:val="auto"/>
        </w:rPr>
      </w:pPr>
    </w:p>
    <w:p>
      <w:pPr>
        <w:ind w:right="160" w:firstLine="480"/>
        <w:spacing w:after="0" w:line="264" w:lineRule="auto"/>
        <w:rPr>
          <w:sz w:val="20"/>
          <w:szCs w:val="20"/>
          <w:color w:val="auto"/>
        </w:rPr>
      </w:pPr>
      <w:r>
        <w:rPr>
          <w:rFonts w:ascii="Times New Roman" w:cs="Times New Roman" w:eastAsia="Times New Roman" w:hAnsi="Times New Roman"/>
          <w:sz w:val="19"/>
          <w:szCs w:val="19"/>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w:t>
      </w:r>
    </w:p>
    <w:p>
      <w:pPr>
        <w:sectPr>
          <w:pgSz w:w="12240" w:h="15840" w:orient="portrait"/>
          <w:cols w:equalWidth="0" w:num="1">
            <w:col w:w="9360"/>
          </w:cols>
          <w:pgMar w:left="1440" w:top="948" w:right="1440" w:bottom="348"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948" w:right="1440" w:bottom="348" w:gutter="0" w:footer="0" w:header="0"/>
          <w:type w:val="continuous"/>
        </w:sectPr>
      </w:pPr>
    </w:p>
    <w:bookmarkStart w:id="69" w:name="page70"/>
    <w:bookmarkEnd w:id="69"/>
    <w:p>
      <w:pPr>
        <w:spacing w:after="0" w:line="249" w:lineRule="auto"/>
        <w:rPr>
          <w:sz w:val="20"/>
          <w:szCs w:val="20"/>
          <w:color w:val="auto"/>
        </w:rPr>
      </w:pPr>
      <w:r>
        <w:rPr>
          <w:rFonts w:ascii="Times New Roman" w:cs="Times New Roman" w:eastAsia="Times New Roman" w:hAnsi="Times New Roman"/>
          <w:sz w:val="20"/>
          <w:szCs w:val="20"/>
          <w:color w:val="auto"/>
        </w:rPr>
        <w:t>may weaken our ability to obtain new patents or to enforce patents that we have licensed or that we may obtain in the future. For example, the complexity and uncertainty of European patent laws have also increased in recent years. In Europe, in June 2023, a new unitary patent system was introduced, which will significantly impact European patents, including those granted before the introduction of the system. Under the unitary patent system, after a European patent is granted, the patent proprietor can request unitary effect, thereby getting a European patent with unitary Effect (a “Unitary Patent”). Each Unitary Patent is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may be potentially vulnerable to a single UPC-based revocation challenge that, if successful, could invalidate the patent in all countries who are signatories to the UPC. We cannot predict with certainty the long-term effects of the new unitary patent system.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Other Legal Compliance Matters</w:t>
      </w:r>
    </w:p>
    <w:p>
      <w:pPr>
        <w:spacing w:after="0" w:line="25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any of our product candidates are approved, an unfavorable reimbursement determination in any of the major markets could have a negative impact on us. Further, an unfavorable change in such regimes (e.g., price controls) could have a negative impact on us.</w:t>
      </w:r>
    </w:p>
    <w:p>
      <w:pPr>
        <w:spacing w:after="0" w:line="173"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any product candidates we may develop obtain marketing approval.</w:t>
      </w:r>
    </w:p>
    <w:p>
      <w:pPr>
        <w:spacing w:after="0" w:line="173"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For example, in May 2019, the Centers for Medicare &amp; Medicaid Services (“CMS”) issued a final rule to allow Medicare Advantage Plans the option of using step therapy, a type of prior authorization for Medicare Party B drugs, beginning January 1, 2020. This final rule codified CMS’s policy change that was effective January 1, 2019.</w:t>
      </w:r>
    </w:p>
    <w:p>
      <w:pPr>
        <w:spacing w:after="0" w:line="174"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Congress has indicated that it will continue to seek new legislative and/or administrative measures to control drug costs. Individual states in the U.S.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See the discussion below under the heading “The prices of prescription pharmaceuticals in the United States and foreign jurisdictions are subject to considerable legislative and executive actions and could impact the prices we obtain for our products, if and when licensed” for additional detail.</w:t>
      </w:r>
    </w:p>
    <w:p>
      <w:pPr>
        <w:spacing w:after="0" w:line="171" w:lineRule="exact"/>
        <w:rPr>
          <w:sz w:val="20"/>
          <w:szCs w:val="20"/>
          <w:color w:val="auto"/>
        </w:rPr>
      </w:pPr>
    </w:p>
    <w:p>
      <w:pPr>
        <w:ind w:right="180" w:firstLine="480"/>
        <w:spacing w:after="0" w:line="264" w:lineRule="auto"/>
        <w:rPr>
          <w:sz w:val="20"/>
          <w:szCs w:val="20"/>
          <w:color w:val="auto"/>
        </w:rPr>
      </w:pPr>
      <w:r>
        <w:rPr>
          <w:rFonts w:ascii="Times New Roman" w:cs="Times New Roman" w:eastAsia="Times New Roman" w:hAnsi="Times New Roman"/>
          <w:sz w:val="19"/>
          <w:szCs w:val="19"/>
          <w:color w:val="auto"/>
        </w:rPr>
        <w:t>At the state level, legislatures have become increasingly aggressive in passing legislation and implementing regulations designed to control pharmaceutical and biological product pricing. Some of these measures include price or patient reimbursement constraints, discounts, restrictions on certain product access, marketing cost disclosure and transparency measures, and, in some cases, measures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Also, increasingly, third-party payors are requiring that drug companies provide them with predetermined discounts from list prices and are challenging the prices charged for medical products. We cannot</w:t>
      </w:r>
    </w:p>
    <w:p>
      <w:pPr>
        <w:sectPr>
          <w:pgSz w:w="12240" w:h="15840" w:orient="portrait"/>
          <w:cols w:equalWidth="0" w:num="1">
            <w:col w:w="9360"/>
          </w:cols>
          <w:pgMar w:left="1440" w:top="948" w:right="1440" w:bottom="348"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948" w:right="1440" w:bottom="348" w:gutter="0" w:footer="0" w:header="0"/>
          <w:type w:val="continuous"/>
        </w:sectPr>
      </w:pPr>
    </w:p>
    <w:bookmarkStart w:id="70" w:name="page71"/>
    <w:bookmarkEnd w:id="70"/>
    <w:p>
      <w:pPr>
        <w:ind w:right="20"/>
        <w:spacing w:after="0" w:line="265" w:lineRule="auto"/>
        <w:rPr>
          <w:sz w:val="20"/>
          <w:szCs w:val="20"/>
          <w:color w:val="auto"/>
        </w:rPr>
      </w:pPr>
      <w:r>
        <w:rPr>
          <w:rFonts w:ascii="Times New Roman" w:cs="Times New Roman" w:eastAsia="Times New Roman" w:hAnsi="Times New Roman"/>
          <w:sz w:val="19"/>
          <w:szCs w:val="19"/>
          <w:color w:val="auto"/>
        </w:rPr>
        <w:t>be sure that reimbursement will be available for any medicine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55"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9"/>
          <w:szCs w:val="19"/>
          <w:color w:val="auto"/>
        </w:rPr>
        <w:t>There may be significant delays in obtaining reimbursement for newly approved medicines, and coverage may be more limited than the purposes for which the medicine is approved by the FDA or similar regulatory authorities outside the U.S.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U.S. Any such reductions could negatively impact our net product sales, if any of our product candidates are ever approved.</w:t>
      </w:r>
    </w:p>
    <w:p>
      <w:pPr>
        <w:spacing w:after="0" w:line="239"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156" w:lineRule="exact"/>
        <w:rPr>
          <w:sz w:val="20"/>
          <w:szCs w:val="20"/>
          <w:color w:val="auto"/>
        </w:rPr>
      </w:pPr>
    </w:p>
    <w:p>
      <w:pPr>
        <w:ind w:right="180" w:firstLine="480"/>
        <w:spacing w:after="0" w:line="249" w:lineRule="auto"/>
        <w:rPr>
          <w:sz w:val="20"/>
          <w:szCs w:val="20"/>
          <w:color w:val="auto"/>
        </w:rPr>
      </w:pPr>
      <w:r>
        <w:rPr>
          <w:rFonts w:ascii="Times New Roman" w:cs="Times New Roman" w:eastAsia="Times New Roman" w:hAnsi="Times New Roman"/>
          <w:sz w:val="20"/>
          <w:szCs w:val="20"/>
          <w:color w:val="auto"/>
        </w:rPr>
        <w:t>The FDA and other regulatory agencies closely regulate the post 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 label use, and if we do not market our medicines for their approved indications, we may be subject to enforcement action for off 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w:t>
      </w:r>
    </w:p>
    <w:p>
      <w:pPr>
        <w:spacing w:after="0" w:line="173" w:lineRule="exact"/>
        <w:rPr>
          <w:sz w:val="20"/>
          <w:szCs w:val="20"/>
          <w:color w:val="auto"/>
        </w:rPr>
      </w:pPr>
    </w:p>
    <w:p>
      <w:pPr>
        <w:ind w:right="40" w:firstLine="480"/>
        <w:spacing w:after="0" w:line="243" w:lineRule="auto"/>
        <w:rPr>
          <w:sz w:val="20"/>
          <w:szCs w:val="20"/>
          <w:color w:val="auto"/>
        </w:rPr>
      </w:pPr>
      <w:r>
        <w:rPr>
          <w:rFonts w:ascii="Times New Roman" w:cs="Times New Roman" w:eastAsia="Times New Roman" w:hAnsi="Times New Roman"/>
          <w:sz w:val="20"/>
          <w:szCs w:val="20"/>
          <w:color w:val="auto"/>
        </w:rPr>
        <w:t>In addition, later discovery of previously unknown problems with our medicines, third-party manufacturers, or manufacturing processes, or failure to comply with regulatory requirements, may yield various results, including:</w:t>
      </w:r>
    </w:p>
    <w:p>
      <w:pPr>
        <w:spacing w:after="0" w:line="168" w:lineRule="exact"/>
        <w:rPr>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such medicines, manufacturers, or manufacturing processes;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labeling or marketing of a medicine;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distribution or use of a medicine;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conduct post marketing clinical trials;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warning or untitled letters;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the medicines from the market;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recall of medicines;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restitution, or disgorgement of profits or revenue;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of any ongoing clinical trials;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permit the import or export of our medicines;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948" w:right="1440" w:bottom="348" w:gutter="0" w:footer="0" w:header="0"/>
          <w:type w:val="continuous"/>
        </w:sectPr>
      </w:pPr>
    </w:p>
    <w:bookmarkStart w:id="71" w:name="page72"/>
    <w:bookmarkEnd w:id="71"/>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169" w:lineRule="exact"/>
        <w:rPr>
          <w:sz w:val="20"/>
          <w:szCs w:val="20"/>
          <w:color w:val="auto"/>
        </w:rPr>
      </w:pPr>
    </w:p>
    <w:p>
      <w:pPr>
        <w:jc w:val="both"/>
        <w:ind w:right="140" w:firstLine="480"/>
        <w:spacing w:after="0" w:line="264" w:lineRule="auto"/>
        <w:rPr>
          <w:sz w:val="20"/>
          <w:szCs w:val="20"/>
          <w:color w:val="auto"/>
        </w:rPr>
      </w:pPr>
      <w:r>
        <w:rPr>
          <w:rFonts w:ascii="Times New Roman" w:cs="Times New Roman" w:eastAsia="Times New Roman" w:hAnsi="Times New Roman"/>
          <w:sz w:val="19"/>
          <w:szCs w:val="19"/>
          <w:color w:val="auto"/>
        </w:rPr>
        <w:t>Additionally, if any of our product candidates receives marketing approval, the FDA could require it to adopt a Risk Evaluation and Mitigation Strategy, to ensure that the benefits outweigh its risks, which may include, among other things, a medication guide outlining the risks of the product for distribution to patients and a communication plan to healthcare practitioners. Furthermore, if we or others later identify undesirable side effects caused by any of our product candidates, several potentially significant negative consequences could result, including:</w:t>
      </w:r>
    </w:p>
    <w:p>
      <w:pPr>
        <w:spacing w:after="0" w:line="152" w:lineRule="exact"/>
        <w:rPr>
          <w:sz w:val="20"/>
          <w:szCs w:val="20"/>
          <w:color w:val="auto"/>
        </w:rPr>
      </w:pPr>
    </w:p>
    <w:p>
      <w:pPr>
        <w:ind w:left="960" w:hanging="480"/>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suspend or withdraw approvals of such product candidate;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additional warnings on the label;</w:t>
      </w:r>
    </w:p>
    <w:p>
      <w:pPr>
        <w:spacing w:after="0" w:line="176" w:lineRule="exact"/>
        <w:rPr>
          <w:rFonts w:ascii="Times New Roman" w:cs="Times New Roman" w:eastAsia="Times New Roman" w:hAnsi="Times New Roman"/>
          <w:sz w:val="20"/>
          <w:szCs w:val="20"/>
          <w:color w:val="auto"/>
        </w:rPr>
      </w:pPr>
    </w:p>
    <w:p>
      <w:pPr>
        <w:ind w:left="960" w:right="440" w:hanging="480"/>
        <w:spacing w:after="0" w:line="243" w:lineRule="auto"/>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change the way such product candidate is administered or conduct additional clinical trials;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harm caused to patients;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pacing w:after="0" w:line="259"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healthcare providers, including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171"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Healthcare providers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including certain laws and regulations applicable only if we have marketed products, include, but are not limited to, the following:</w:t>
      </w:r>
    </w:p>
    <w:p>
      <w:pPr>
        <w:spacing w:after="0" w:line="170" w:lineRule="exact"/>
        <w:rPr>
          <w:sz w:val="20"/>
          <w:szCs w:val="20"/>
          <w:color w:val="auto"/>
        </w:rPr>
      </w:pPr>
    </w:p>
    <w:p>
      <w:pPr>
        <w:ind w:left="960" w:right="180" w:hanging="480"/>
        <w:spacing w:after="0" w:line="249"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healthcare program Anti-Kickback Statute, which prohibits, among other things, persons or entities from knowingly and willfully soliciting, receiving, offering, or providing any remuneration (including any kickback, bribe or certain rebates), directly or indirectly, in cash or in kind, to induce, or in return for, either the referral of an individual, for the purchase, lease, order or recommendation of any item, good, facility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169" w:lineRule="exact"/>
        <w:rPr>
          <w:rFonts w:ascii="Times New Roman" w:cs="Times New Roman" w:eastAsia="Times New Roman" w:hAnsi="Times New Roman"/>
          <w:sz w:val="20"/>
          <w:szCs w:val="20"/>
          <w:color w:val="auto"/>
        </w:rPr>
      </w:pPr>
    </w:p>
    <w:p>
      <w:pPr>
        <w:ind w:left="960" w:right="120" w:hanging="480"/>
        <w:spacing w:after="0" w:line="249"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false claims, including the False Claims Act that can be enforced through whistleblower actions, false statements and civil monetary penalties laws, which prohibit, among other things, any person or entity from knowingly presenting, or causing to be presented, a false or fraudulent claim for payment of government funds or knowingly making, or causing to be made, a false record or statement material to a false or fraudulent claim to get a false claim paid or to avoid, decrease or conceal an obligation to pay money to the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171" w:lineRule="exact"/>
        <w:rPr>
          <w:rFonts w:ascii="Times New Roman" w:cs="Times New Roman" w:eastAsia="Times New Roman" w:hAnsi="Times New Roman"/>
          <w:sz w:val="20"/>
          <w:szCs w:val="20"/>
          <w:color w:val="auto"/>
        </w:rPr>
      </w:pPr>
    </w:p>
    <w:p>
      <w:pPr>
        <w:ind w:left="960" w:right="200" w:hanging="480"/>
        <w:spacing w:after="0" w:line="249" w:lineRule="auto"/>
        <w:tabs>
          <w:tab w:leader="none" w:pos="9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which, prohibits, among other things, executing, or attempting to execute, a scheme to defraud any healthcare benefit program or making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948" w:right="1440" w:bottom="348" w:gutter="0" w:footer="0" w:header="0"/>
          <w:type w:val="continuous"/>
        </w:sectPr>
      </w:pPr>
    </w:p>
    <w:bookmarkStart w:id="72" w:name="page73"/>
    <w:bookmarkEnd w:id="72"/>
    <w:p>
      <w:pPr>
        <w:ind w:left="960" w:right="220" w:hanging="480"/>
        <w:spacing w:after="0" w:line="246" w:lineRule="auto"/>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72" w:lineRule="exact"/>
        <w:rPr>
          <w:rFonts w:ascii="Times New Roman" w:cs="Times New Roman" w:eastAsia="Times New Roman" w:hAnsi="Times New Roman"/>
          <w:sz w:val="20"/>
          <w:szCs w:val="20"/>
          <w:color w:val="auto"/>
        </w:rPr>
      </w:pPr>
    </w:p>
    <w:p>
      <w:pPr>
        <w:jc w:val="both"/>
        <w:ind w:left="960" w:right="120" w:hanging="480"/>
        <w:spacing w:after="0" w:line="246" w:lineRule="auto"/>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Food, Drug, and Cosmetic Act, which among other things, strictly regulates drug marketing, prohibits manufacturers from marketing such products for off-label use and regulates the distribution of samples;</w:t>
      </w:r>
    </w:p>
    <w:p>
      <w:pPr>
        <w:spacing w:after="0" w:line="172" w:lineRule="exact"/>
        <w:rPr>
          <w:rFonts w:ascii="Times New Roman" w:cs="Times New Roman" w:eastAsia="Times New Roman" w:hAnsi="Times New Roman"/>
          <w:sz w:val="20"/>
          <w:szCs w:val="20"/>
          <w:color w:val="auto"/>
        </w:rPr>
      </w:pPr>
    </w:p>
    <w:p>
      <w:pPr>
        <w:jc w:val="both"/>
        <w:ind w:left="960" w:right="80" w:hanging="480"/>
        <w:spacing w:after="0" w:line="246" w:lineRule="auto"/>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72" w:lineRule="exact"/>
        <w:rPr>
          <w:rFonts w:ascii="Times New Roman" w:cs="Times New Roman" w:eastAsia="Times New Roman" w:hAnsi="Times New Roman"/>
          <w:sz w:val="20"/>
          <w:szCs w:val="20"/>
          <w:color w:val="auto"/>
        </w:rPr>
      </w:pPr>
    </w:p>
    <w:p>
      <w:pPr>
        <w:ind w:left="960" w:right="140" w:hanging="480"/>
        <w:spacing w:after="0" w:line="249" w:lineRule="auto"/>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within the U.S. Department of Health and Human Services, information related to payments or other transfers of value made during the previous year to physicians (defined to include doctors, dentists, optometrists, podiatrists and chiropractors) and teaching hospitals, as well as ownership and investment interests held by physicians and their immediate family members. Beginning in 2022, such obligations include payments and other transfers of value provided in the previous year to certain other healthcare professionals, including physician assistants, nurse practitioners, clinical nurse specialists, certified nurse anesthetists, anesthesiologist assistants and certified nurse midwives; and</w:t>
      </w:r>
    </w:p>
    <w:p>
      <w:pPr>
        <w:spacing w:after="0" w:line="173" w:lineRule="exact"/>
        <w:rPr>
          <w:rFonts w:ascii="Times New Roman" w:cs="Times New Roman" w:eastAsia="Times New Roman" w:hAnsi="Times New Roman"/>
          <w:sz w:val="20"/>
          <w:szCs w:val="20"/>
          <w:color w:val="auto"/>
        </w:rPr>
      </w:pPr>
    </w:p>
    <w:p>
      <w:pPr>
        <w:ind w:left="960" w:right="500" w:hanging="480"/>
        <w:spacing w:after="0" w:line="246" w:lineRule="auto"/>
        <w:tabs>
          <w:tab w:leader="none" w:pos="9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which may be broader in scope and apply to healthcare items or services that are reimbursed by non-governmental third-party payors, including private insurers.</w:t>
      </w:r>
    </w:p>
    <w:p>
      <w:pPr>
        <w:spacing w:after="0" w:line="173" w:lineRule="exact"/>
        <w:rPr>
          <w:sz w:val="20"/>
          <w:szCs w:val="20"/>
          <w:color w:val="auto"/>
        </w:rPr>
      </w:pPr>
    </w:p>
    <w:p>
      <w:pPr>
        <w:ind w:right="60" w:firstLine="480"/>
        <w:spacing w:after="0" w:line="248" w:lineRule="auto"/>
        <w:rPr>
          <w:sz w:val="20"/>
          <w:szCs w:val="20"/>
          <w:color w:val="auto"/>
        </w:rPr>
      </w:pPr>
      <w:r>
        <w:rPr>
          <w:rFonts w:ascii="Times New Roman" w:cs="Times New Roman" w:eastAsia="Times New Roman" w:hAnsi="Times New Roman"/>
          <w:sz w:val="20"/>
          <w:szCs w:val="20"/>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Certain state laws also require the reporting of information related to drug pricing. Further, certain state and local laws require the registration of pharmaceutical sales representatives.</w:t>
      </w:r>
    </w:p>
    <w:p>
      <w:pPr>
        <w:spacing w:after="0" w:line="172" w:lineRule="exact"/>
        <w:rPr>
          <w:sz w:val="20"/>
          <w:szCs w:val="20"/>
          <w:color w:val="auto"/>
        </w:rPr>
      </w:pPr>
    </w:p>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Efforts to ensure that our business arrangements with third parties will comply with applicable healthcare laws and regulations will involve substantial costs. Given the breadth of the laws and regulations and evolving government interpretations of the laws and regulations, governmental authorities may possibly conclude that our business practices, including certain of our advisory board arrangements with physicians, some of whom are compensated in the form of stock or stock options, may not comply with healthcare laws and regulations. If our operations are found to be in violation of any of the laws described above or any other government regulations that apply to us, we may be subject to significant penalties, including administrative, civil and criminal penalties, damages, fines, disgorgement, exclusion from participation in government health care programs, such as Medicare and Medicaid, imprisonment, integrity oversight and reporting obligations, contractual damages, reputational harm, diminished profits and future earnings, and the curtailment or restructuring of our operations, any of which could adversely affect our business, financial condition, results of operations, and prospects.</w:t>
      </w:r>
    </w:p>
    <w:p>
      <w:pPr>
        <w:spacing w:after="0" w:line="175"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The European Union has strict laws governing the provision of benefits or advantages to healthcare professionals in order to induce or encourage the prescription, recommendation, endorsement, purchase, supply, order or use of medicinal products. Such laws and associated codes of practice set out the rules and requirements that the provision of hospitality, sponsorship, gifts and promotional items must meet before they can be accepted by healthcare professionals. The provision of benefits or advantages to healthcare professionals is also governed by the national anti-bribery laws of European Union Member States. Infringement of these laws could result in substantial fines and imprisonment.</w:t>
      </w:r>
    </w:p>
    <w:p>
      <w:pPr>
        <w:spacing w:after="0" w:line="170" w:lineRule="exact"/>
        <w:rPr>
          <w:sz w:val="20"/>
          <w:szCs w:val="20"/>
          <w:color w:val="auto"/>
        </w:rPr>
      </w:pPr>
    </w:p>
    <w:p>
      <w:pPr>
        <w:ind w:right="320" w:firstLine="480"/>
        <w:spacing w:after="0" w:line="265" w:lineRule="auto"/>
        <w:rPr>
          <w:sz w:val="20"/>
          <w:szCs w:val="20"/>
          <w:color w:val="auto"/>
        </w:rPr>
      </w:pPr>
      <w:r>
        <w:rPr>
          <w:rFonts w:ascii="Times New Roman" w:cs="Times New Roman" w:eastAsia="Times New Roman" w:hAnsi="Times New Roman"/>
          <w:sz w:val="19"/>
          <w:szCs w:val="19"/>
          <w:color w:val="auto"/>
        </w:rPr>
        <w:t>Payments made to healthcare professionals in certain European Union Member States may be publicly disclosed. Moreover, agreements with healthcare professionals often must be the subject of prior notification and approval by the healthcare professionals’ employer, his or her competent professional organization, and/or the regulatory authorities of the individual European Union Member States. These requirements are provided in the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360"/>
          </w:cols>
          <w:pgMar w:left="1440" w:top="948" w:right="1440" w:bottom="348" w:gutter="0" w:footer="0" w:header="0"/>
          <w:type w:val="continuous"/>
        </w:sectPr>
      </w:pPr>
    </w:p>
    <w:bookmarkStart w:id="73" w:name="page74"/>
    <w:bookmarkEnd w:id="73"/>
    <w:p>
      <w:pPr>
        <w:ind w:right="300"/>
        <w:spacing w:after="0" w:line="246" w:lineRule="auto"/>
        <w:rPr>
          <w:sz w:val="20"/>
          <w:szCs w:val="20"/>
          <w:color w:val="auto"/>
        </w:rPr>
      </w:pPr>
      <w:r>
        <w:rPr>
          <w:rFonts w:ascii="Times New Roman" w:cs="Times New Roman" w:eastAsia="Times New Roman" w:hAnsi="Times New Roman"/>
          <w:sz w:val="20"/>
          <w:szCs w:val="20"/>
          <w:color w:val="auto"/>
        </w:rPr>
        <w:t>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5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Healthcare and other reform legislation may increase the difficulty and cost for us and any collaborators we may have to obtain marketing approval of and commercialize briquilimab and any other product candidates we may develop and affect the prices we, or they, may obtain.</w:t>
      </w:r>
    </w:p>
    <w:p>
      <w:pPr>
        <w:spacing w:after="0" w:line="173" w:lineRule="exact"/>
        <w:rPr>
          <w:sz w:val="20"/>
          <w:szCs w:val="20"/>
          <w:color w:val="auto"/>
        </w:rPr>
      </w:pPr>
    </w:p>
    <w:p>
      <w:pPr>
        <w:ind w:right="20" w:firstLine="480"/>
        <w:spacing w:after="0" w:line="248"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continue to be, ongoing efforts to implement legislative and regulatory changes regarding the healthcare system. Such changes could prevent or delay marketing approval of briquilimab and any other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w:t>
      </w:r>
    </w:p>
    <w:p>
      <w:pPr>
        <w:spacing w:after="0" w:line="1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173"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Within the United States, the federal government and individual states have aggressively pursued healthcare reform, as evidenced by the passing of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There are, and may continue to be, judicial challenges, including review by the United States Supreme Court. We cannot predict the ultimate content, timing or effect of any changes to the ACA or other federal and state reform efforts. There is no assurance that federal or state healthcare reform will not adversely affect our future business and financial results, and we cannot predict how future federal or state legislative, judicial or administrative changes relating to healthcare reform will affect our business.</w:t>
      </w:r>
    </w:p>
    <w:p>
      <w:pPr>
        <w:spacing w:after="0" w:line="180" w:lineRule="exact"/>
        <w:rPr>
          <w:sz w:val="20"/>
          <w:szCs w:val="20"/>
          <w:color w:val="auto"/>
        </w:rPr>
      </w:pPr>
    </w:p>
    <w:p>
      <w:pPr>
        <w:ind w:right="160" w:firstLine="480"/>
        <w:spacing w:after="0" w:line="264" w:lineRule="auto"/>
        <w:rPr>
          <w:sz w:val="20"/>
          <w:szCs w:val="20"/>
          <w:color w:val="auto"/>
        </w:rPr>
      </w:pPr>
      <w:r>
        <w:rPr>
          <w:rFonts w:ascii="Times New Roman" w:cs="Times New Roman" w:eastAsia="Times New Roman" w:hAnsi="Times New Roman"/>
          <w:sz w:val="19"/>
          <w:szCs w:val="19"/>
          <w:color w:val="auto"/>
        </w:rPr>
        <w:t>Federal and state governments have shown significant interest in implementing cost-containment programs to limit the growth of government-paid healthcare costs, including price controls, waivers from Medicaid drug rebate law requirements, restrictions on reimbursement and requirements for substitution of generic products for branded prescription drugs. The private sector has also sought to control healthcare costs by limiting coverage or reimbursement or requiring discounts and rebates on products. We are unable to predict what additional legislation, regulations or policies, if any, relating to the healthcare industry or third party coverage and reimbursement may be enacted in the future or what effect such legislation, regulations or policies would have on our business. Any cost containment measures could significantly decrease the available coverage and the price we might establish for our potential products, which would have an adverse effect on our net revenues and operating results.</w:t>
      </w:r>
    </w:p>
    <w:p>
      <w:pPr>
        <w:spacing w:after="0" w:line="157" w:lineRule="exact"/>
        <w:rPr>
          <w:sz w:val="20"/>
          <w:szCs w:val="20"/>
          <w:color w:val="auto"/>
        </w:rPr>
      </w:pPr>
    </w:p>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for biological products will be changed, or what the impact of such changes on the marketing approvals of our product candidates, if any, may be. In addition, increased scrutiny by the U.S. Congress of the FDA’s approval and decision-making processes may significantly delay or prevent marketing approval, as well as subject us to more stringent product labeling and post-marketing testing and other requirements.</w:t>
      </w:r>
    </w:p>
    <w:p>
      <w:pPr>
        <w:spacing w:after="0" w:line="2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173" w:lineRule="exact"/>
        <w:rPr>
          <w:sz w:val="20"/>
          <w:szCs w:val="20"/>
          <w:color w:val="auto"/>
        </w:rPr>
      </w:pPr>
    </w:p>
    <w:p>
      <w:pPr>
        <w:ind w:right="340" w:firstLine="480"/>
        <w:spacing w:after="0" w:line="266" w:lineRule="auto"/>
        <w:rPr>
          <w:sz w:val="20"/>
          <w:szCs w:val="20"/>
          <w:color w:val="auto"/>
        </w:rPr>
      </w:pPr>
      <w:r>
        <w:rPr>
          <w:rFonts w:ascii="Times New Roman" w:cs="Times New Roman" w:eastAsia="Times New Roman" w:hAnsi="Times New Roman"/>
          <w:sz w:val="19"/>
          <w:szCs w:val="19"/>
          <w:color w:val="auto"/>
        </w:rPr>
        <w:t>The prices of prescription pharmaceuticals have also been the subject of considerable discussion in the United States. To date, there have been several recent U.S. congressional inquiries and proposed and enacted state and federal legislation designed to, among other things, bring more transparency to drug pricing, review the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360"/>
          </w:cols>
          <w:pgMar w:left="1440" w:top="948" w:right="1440" w:bottom="348" w:gutter="0" w:footer="0" w:header="0"/>
          <w:type w:val="continuous"/>
        </w:sectPr>
      </w:pPr>
    </w:p>
    <w:bookmarkStart w:id="74" w:name="page75"/>
    <w:bookmarkEnd w:id="74"/>
    <w:p>
      <w:pPr>
        <w:ind w:right="100"/>
        <w:spacing w:after="0" w:line="263" w:lineRule="auto"/>
        <w:rPr>
          <w:sz w:val="20"/>
          <w:szCs w:val="20"/>
          <w:color w:val="auto"/>
        </w:rPr>
      </w:pPr>
      <w:r>
        <w:rPr>
          <w:rFonts w:ascii="Times New Roman" w:cs="Times New Roman" w:eastAsia="Times New Roman" w:hAnsi="Times New Roman"/>
          <w:sz w:val="19"/>
          <w:szCs w:val="19"/>
          <w:color w:val="auto"/>
        </w:rPr>
        <w:t>relationship between pricing and manufacturer patient programs, reduce the costs of drugs under Medicare and reform government program reimbursement methodologies for products.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January 2024, the FDA authorized Florida’s Agency</w:t>
      </w:r>
    </w:p>
    <w:p>
      <w:pPr>
        <w:spacing w:after="0" w:line="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for Health Care Administration’s drug importation program, which is the first step toward Florida facilitating importation of certain prescription drugs from Canada. Authorization of other state programs may follow as other states have submitted importation program proposals. The Trump Administration has publicly supported such state-directed importation programs, and the FDA has taken steps to facilitate such states in initiating such programs. In addition, regional health care organizations and individual hospitals are increasingly using bidding procedures</w:t>
      </w:r>
    </w:p>
    <w:p>
      <w:pPr>
        <w:spacing w:after="0" w:line="12"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68"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In the European Union, similar political, economic and regulatory developments may affect our ability to profitably commercialize our product candidates, if approved.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possibly materially.</w:t>
      </w:r>
    </w:p>
    <w:p>
      <w:pPr>
        <w:spacing w:after="0" w:line="174"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20"/>
          <w:szCs w:val="20"/>
          <w:color w:val="auto"/>
        </w:rPr>
        <w:t>In addition, on August 16, 2022, former President Biden signed into law the Inflation Reduction Act of 2022, which, among other things, includes policies that are designed to have a direct impact on drug prices and reduce drug spending by the federal government, took effect in 2023. Under the Inflation Reduction Act of 2022, Congress authorized Medicare beginning in 2026 to negotiate lower prices for certain costly single-source drug and biologic products that do not have competing generics or biosimilars. This provision is limited in terms of the number of pharmaceuticals whose prices can be negotiated in any given year and it only applies to drug products that have been approved for at least 9 years and biologics that have been licensed for 13 years. Drugs and biologics that have been approved for a single rare disease or condition are categorically excluded from price negotiation. Further, the new legislation provides that if pharmaceutical companies raise prices in Medicare faster than the rate of inflation, they must pay rebates back to the government for the difference. The new law also caps Medicare out-of-pocket drug costs at $2,000 a year. Various industry stakeholders, including pharmaceutical companies, have lawsuits pending against the federal government asserting that the price negotiation provisions of the IRA are unconstitutional. HHS has generally won the substantive disputes in these cases, but certain of these cases continue to be appealed. Under the Trump Administration, CMS has continued to negotiate drug prices pursuant to the IRA framework. The Trump Administration has also issued public statements about its commitment to lowering the cost of prescription drugs and has sought additional voluntary agreements to reduce drug pricing from certain pharmaceutical manufacturers. The effects of the IRA on our business is not yet known.</w:t>
      </w:r>
    </w:p>
    <w:p>
      <w:pPr>
        <w:spacing w:after="0" w:line="25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55" w:lineRule="exact"/>
        <w:rPr>
          <w:sz w:val="20"/>
          <w:szCs w:val="20"/>
          <w:color w:val="auto"/>
        </w:rPr>
      </w:pPr>
    </w:p>
    <w:p>
      <w:pPr>
        <w:ind w:right="180" w:firstLine="480"/>
        <w:spacing w:after="0" w:line="249" w:lineRule="auto"/>
        <w:rPr>
          <w:sz w:val="20"/>
          <w:szCs w:val="20"/>
          <w:color w:val="auto"/>
        </w:rPr>
      </w:pPr>
      <w:r>
        <w:rPr>
          <w:rFonts w:ascii="Times New Roman" w:cs="Times New Roman" w:eastAsia="Times New Roman" w:hAnsi="Times New Roman"/>
          <w:sz w:val="20"/>
          <w:szCs w:val="20"/>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360"/>
          </w:cols>
          <w:pgMar w:left="1440" w:top="948" w:right="1440" w:bottom="348" w:gutter="0" w:footer="0" w:header="0"/>
          <w:type w:val="continuous"/>
        </w:sectPr>
      </w:pPr>
    </w:p>
    <w:bookmarkStart w:id="75" w:name="page76"/>
    <w:bookmarkEnd w:id="75"/>
    <w:p>
      <w:pPr>
        <w:ind w:right="100"/>
        <w:spacing w:after="0" w:line="249" w:lineRule="auto"/>
        <w:rPr>
          <w:sz w:val="20"/>
          <w:szCs w:val="20"/>
          <w:color w:val="auto"/>
        </w:rPr>
      </w:pPr>
      <w:r>
        <w:rPr>
          <w:rFonts w:ascii="Times New Roman" w:cs="Times New Roman" w:eastAsia="Times New Roman" w:hAnsi="Times New Roman"/>
          <w:sz w:val="20"/>
          <w:szCs w:val="20"/>
          <w:color w:val="auto"/>
        </w:rPr>
        <w:t>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w:t>
      </w:r>
    </w:p>
    <w:p>
      <w:pPr>
        <w:spacing w:after="0" w:line="15" w:lineRule="exact"/>
        <w:rPr>
          <w:sz w:val="20"/>
          <w:szCs w:val="20"/>
          <w:color w:val="auto"/>
        </w:rPr>
      </w:pPr>
    </w:p>
    <w:p>
      <w:pPr>
        <w:ind w:right="620"/>
        <w:spacing w:after="0" w:line="243" w:lineRule="auto"/>
        <w:rPr>
          <w:sz w:val="20"/>
          <w:szCs w:val="20"/>
          <w:color w:val="auto"/>
        </w:rPr>
      </w:pPr>
      <w:r>
        <w:rPr>
          <w:rFonts w:ascii="Times New Roman" w:cs="Times New Roman" w:eastAsia="Times New Roman" w:hAnsi="Times New Roman"/>
          <w:sz w:val="20"/>
          <w:szCs w:val="20"/>
          <w:color w:val="auto"/>
        </w:rPr>
        <w:t>a significant impact on our business, financial condition, results of operations and prospects, including the imposition of significant fines or other sanctions.</w:t>
      </w:r>
    </w:p>
    <w:p>
      <w:pPr>
        <w:spacing w:after="0" w:line="257"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73" w:lineRule="exact"/>
        <w:rPr>
          <w:sz w:val="20"/>
          <w:szCs w:val="20"/>
          <w:color w:val="auto"/>
        </w:rPr>
      </w:pPr>
    </w:p>
    <w:p>
      <w:pPr>
        <w:ind w:right="40" w:firstLine="480"/>
        <w:spacing w:after="0" w:line="266" w:lineRule="auto"/>
        <w:rPr>
          <w:sz w:val="20"/>
          <w:szCs w:val="20"/>
          <w:color w:val="auto"/>
        </w:rPr>
      </w:pPr>
      <w:r>
        <w:rPr>
          <w:rFonts w:ascii="Times New Roman" w:cs="Times New Roman" w:eastAsia="Times New Roman" w:hAnsi="Times New Roman"/>
          <w:sz w:val="19"/>
          <w:szCs w:val="19"/>
          <w:color w:val="auto"/>
        </w:rPr>
        <w:t>We may be subject to numerous laws and regulations in each jurisdiction outside of the United States in which we may operate. The creation, implementation and maintenance of international business practices compliance programs is costly and such programs are difficult to enforce, particularly where reliance on third parties is required.</w:t>
      </w:r>
    </w:p>
    <w:p>
      <w:pPr>
        <w:spacing w:after="0" w:line="154"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The Foreign Corrupt Practices Act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73"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Similarly, the U.K. Bribery Act 2010 has extra-territorial effect for companies and individuals having a connection with the United Kingdom.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20"/>
          <w:szCs w:val="20"/>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product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360"/>
          </w:cols>
          <w:pgMar w:left="1440" w:top="948" w:right="1440" w:bottom="348" w:gutter="0" w:footer="0" w:header="0"/>
          <w:type w:val="continuous"/>
        </w:sectPr>
      </w:pPr>
    </w:p>
    <w:bookmarkStart w:id="76" w:name="page77"/>
    <w:bookmarkEnd w:id="76"/>
    <w:p>
      <w:pPr>
        <w:ind w:right="2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and results of operations.</w:t>
      </w:r>
    </w:p>
    <w:p>
      <w:pPr>
        <w:spacing w:after="0" w:line="171" w:lineRule="exact"/>
        <w:rPr>
          <w:sz w:val="20"/>
          <w:szCs w:val="20"/>
          <w:color w:val="auto"/>
        </w:rPr>
      </w:pPr>
    </w:p>
    <w:p>
      <w:pPr>
        <w:ind w:right="200" w:firstLine="480"/>
        <w:spacing w:after="0" w:line="263" w:lineRule="auto"/>
        <w:rPr>
          <w:sz w:val="20"/>
          <w:szCs w:val="20"/>
          <w:color w:val="auto"/>
        </w:rPr>
      </w:pPr>
      <w:r>
        <w:rPr>
          <w:rFonts w:ascii="Times New Roman" w:cs="Times New Roman" w:eastAsia="Times New Roman" w:hAnsi="Times New Roman"/>
          <w:sz w:val="19"/>
          <w:szCs w:val="19"/>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(the “GDPR”), which took effect across all member states of the European Economic Area (the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w:t>
      </w:r>
    </w:p>
    <w:p>
      <w:pPr>
        <w:spacing w:after="0" w:line="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data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additional laws and regulations limiting the processing of personal data, including genetic, biometric or health data. In addition to the GDPR, other European Union and member state laws and regulations may impose further obligations or our restrictions on process health information in the EEA, such as the European Health Data Space Regulation.</w:t>
      </w:r>
    </w:p>
    <w:p>
      <w:pPr>
        <w:spacing w:after="0" w:line="169"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The European Data Protection Board continues to release guidelines for industries and impose fines related to the GDPR, some of which have been very significant, including proposed amendments to the GDPR in November 2025. Meanwhile, there continues to be persistent uncertainty relating to the transfer of personal data from Europe to the U.S., or other non-adequate countries, following the Schrems II decision. On July 10, 2023, the European Commission adopted its adequacy decision on the EU-U.S. Data Privacy Framework (“DPF”). The decision, which took effect on the day of its adoption, concludes that the United States ensures an adequate level of protection for personal data transferred from the EEA to companies certified to DPF. However, it remains too soon to tell how the future of DPF will evolve and what impact it will have on our international activities. At least one challenge to the DPF is pending before the Court of Justice of the European Union.</w:t>
      </w:r>
    </w:p>
    <w:p>
      <w:pPr>
        <w:spacing w:after="0" w:line="173"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Further, Brexit has led and could also lead to legislative and regulatory changes and may increase our compliance costs. Data processing in the United Kingdom is governed by a United Kingdom version of the GDPR (combining the GDPR and the Data Protection Act 2018) as well as other laws including the Data Use and Access Act and the Privacy and Electronic Communications Regulations, exposing us to two parallel regimes, each of which authorizes similar fines and other potentially divergent enforcement actions for certain violations. The European Commission adopted an Adequacy Decision for the United Kingdom, allowing for the relatively free exchange of personal data between the European Union and the United Kingdom (as the UK correspondingly allows transfers back to the European Union), which was extended through December 27, 2025. Other jurisdictions outside the European Union are similarly introducing or enhancing privacy and data security laws, rules and regulations.</w:t>
      </w:r>
    </w:p>
    <w:p>
      <w:pPr>
        <w:spacing w:after="0" w:line="173"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In the EEA, the NIS 2 Directive (“NIS 2”) is replacing the cybersecurity legal framework under the current NIS framework. NIS-2 applies to certain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w:t>
      </w:r>
    </w:p>
    <w:p>
      <w:pPr>
        <w:sectPr>
          <w:pgSz w:w="12240" w:h="15840" w:orient="portrait"/>
          <w:cols w:equalWidth="0" w:num="1">
            <w:col w:w="9360"/>
          </w:cols>
          <w:pgMar w:left="1440" w:top="951" w:right="1440" w:bottom="348"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360"/>
          </w:cols>
          <w:pgMar w:left="1440" w:top="951" w:right="1440" w:bottom="348" w:gutter="0" w:footer="0" w:header="0"/>
          <w:type w:val="continuous"/>
        </w:sectPr>
      </w:pPr>
    </w:p>
    <w:bookmarkStart w:id="77" w:name="page78"/>
    <w:bookmarkEnd w:id="77"/>
    <w:p>
      <w:pPr>
        <w:ind w:right="180"/>
        <w:spacing w:after="0" w:line="249" w:lineRule="auto"/>
        <w:rPr>
          <w:sz w:val="20"/>
          <w:szCs w:val="20"/>
          <w:color w:val="auto"/>
        </w:rPr>
      </w:pPr>
      <w:r>
        <w:rPr>
          <w:rFonts w:ascii="Times New Roman" w:cs="Times New Roman" w:eastAsia="Times New Roman" w:hAnsi="Times New Roman"/>
          <w:sz w:val="20"/>
          <w:szCs w:val="20"/>
          <w:color w:val="auto"/>
        </w:rPr>
        <w:t>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that we are subject to NIS 2 in the future, we may require additional investment of our resources in compliance programs. Under NIS 2, companies may be subject to administrative fines of up to the higher amount of €10 million or 2% of worldwide turnover.</w:t>
      </w:r>
    </w:p>
    <w:p>
      <w:pPr>
        <w:spacing w:after="0" w:line="168"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Similar actions are either in place or under way in the United States. There are a broad variety of data protection and breach notification laws that are applicable to our activities, and a wide range of enforcement agencies at both the state and federal levels that can review companies for privacy and data security concerns based on general consumer protection laws. 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These laws are not consistent, and compliance in the event of a widespread data breach is difficult and may be costly. We also may be contractually required to notify patients or other counterparties of a security breach.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75"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20"/>
          <w:szCs w:val="20"/>
          <w:color w:val="auto"/>
        </w:rPr>
        <w:t>The Federal Trade Commission (“FTC”) and state Attorneys General all are aggressive in reviewing privacy and data security protections for consumers. New laws also are being considered at both the state and federal levels and several states have passed comprehensive privacy laws. For example, the California Consumer Privacy Act (as amended, “CCPA”) creates similar risks and obligations as those created by the GDPR, though the CCPA does exempt certain information collected as a part of clinical trial data. The CCPA may increase our compliance costs and potential liability, and we cannot yet predict the impact of the CCPA on our business. States have adopted statewide and comprehensive privacy laws and many other states have privacy legislation that is pending. Some state laws minimize what data can be collected from consumers and how businesses may use and disclose it. These state privacy laws also require businesses to make disclosures to consumers about data collection, use and sharing practices. . In addition, some of these laws (including the CCPA), along with other standalone health privacy laws, subject health-related information to additional safeguards and disclosures and some specifically regulate consumer health data, such as the Washington My Health My Data Act, which became effective in 2023 and 2024, Nevada’s Consumer Health Data Privacy Law, which became effective in 2024, and Connecticut’s amendments to its privacy law to address health data, which became effective in 2023. Additionally, a broad range of legislative measures also have been introduced at the federal level, including continued actions by the FTC, to enforce the FTC Act and violations of the Health Breach Notification Rule. Additionally, in 2024, the FTC finalized updates to the Health Breach Notification Rule that, among other things, clarified its applicability to health apps and other similar technologies and expanded the information the breach notification requirements for entities subject to the rule which may add additional complexity to compliance obligations going forward. We may also be subject to data privacy and security regulations under HIPAA, as amended by the Health Information Technology for Economic and Clinical Health Act of 2009 (“HITECH”) and its implementing regulations, mandates, among other things, the adoption of uniform standards for the electronic exchange of information in common healthcare transactions, as well as standards relating to the privacy and security of individually identifiable health information, which require the adoption of administrative, physical and technical safeguards to protect such information. We may obtain health information from third parties (including research institutions from which we obtain clinical trial data) that are subject to privacy and security requirements under HIPAA.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Requirements for compliance under HIPAA are also subject to change, as the U.S. Department of Health and Human Services Office of Civil Rights issued a proposed rule that would amend certain security compliance requirements for covered entities and business associates.</w:t>
      </w:r>
    </w:p>
    <w:p>
      <w:pPr>
        <w:spacing w:after="0" w:line="174" w:lineRule="exact"/>
        <w:rPr>
          <w:sz w:val="20"/>
          <w:szCs w:val="20"/>
          <w:color w:val="auto"/>
        </w:rPr>
      </w:pPr>
    </w:p>
    <w:p>
      <w:pPr>
        <w:ind w:right="260" w:firstLine="480"/>
        <w:spacing w:after="0" w:line="264" w:lineRule="auto"/>
        <w:rPr>
          <w:sz w:val="20"/>
          <w:szCs w:val="20"/>
          <w:color w:val="auto"/>
        </w:rPr>
      </w:pPr>
      <w:r>
        <w:rPr>
          <w:rFonts w:ascii="Times New Roman" w:cs="Times New Roman" w:eastAsia="Times New Roman" w:hAnsi="Times New Roman"/>
          <w:sz w:val="19"/>
          <w:szCs w:val="19"/>
          <w:color w:val="auto"/>
        </w:rPr>
        <w:t>The U.S. Department of Justice issued a final rule entitled, “Access to U.S. Sensitive Personal Data and Government-Related Data by Countries of Concern or Covered Persons,” codified at 28 CFR part 202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360"/>
          </w:cols>
          <w:pgMar w:left="1440" w:top="948" w:right="1440" w:bottom="348" w:gutter="0" w:footer="0" w:header="0"/>
          <w:type w:val="continuous"/>
        </w:sectPr>
      </w:pPr>
    </w:p>
    <w:bookmarkStart w:id="78" w:name="page79"/>
    <w:bookmarkEnd w:id="78"/>
    <w:p>
      <w:pPr>
        <w:ind w:right="20"/>
        <w:spacing w:after="0" w:line="246" w:lineRule="auto"/>
        <w:rPr>
          <w:sz w:val="20"/>
          <w:szCs w:val="20"/>
          <w:color w:val="auto"/>
        </w:rPr>
      </w:pPr>
      <w:r>
        <w:rPr>
          <w:rFonts w:ascii="Times New Roman" w:cs="Times New Roman" w:eastAsia="Times New Roman" w:hAnsi="Times New Roman"/>
          <w:sz w:val="20"/>
          <w:szCs w:val="20"/>
          <w:color w:val="auto"/>
        </w:rPr>
        <w:t>samples and related data, which may increase compliance costs, lead to increased regulatory scrutiny or liability, and may require additional contractual negotiations, which may adversely impact our business, financial condition, and operating results.</w:t>
      </w:r>
    </w:p>
    <w:p>
      <w:pPr>
        <w:spacing w:after="0" w:line="173"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Accordingly, failure to comply with federal and state laws (both those currently in effect and future legislation) regarding privacy and security of personal data could expose us to fines and penalties under such laws. There also is the threat of consumer class actions related to these laws and the overall protection of personal data. This is particularly true with respect to data security incidents, and sensitive personal data, including health and biometric data. Even if we are not determined to have violated these laws, government investigations into these issues typically require the expenditure of significant resources and generate negative publicity, which could harm our reputation and business.</w:t>
      </w:r>
    </w:p>
    <w:p>
      <w:pPr>
        <w:spacing w:after="0" w:line="170" w:lineRule="exact"/>
        <w:rPr>
          <w:sz w:val="20"/>
          <w:szCs w:val="20"/>
          <w:color w:val="auto"/>
        </w:rPr>
      </w:pPr>
    </w:p>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Our employees and personnel may use generative artificial intelligence technologies to perform their work, and the disclosure and use of personal data in generative artificial intelligence technologies is subject to various privacy laws and other privacy obligations. Governments have passed and are likely to pass additional laws regulating generative artificial intelligence. Our use of this technology could result in additional compliance costs, regulatory investigations and actions, and lawsuits. If we are unable to use generative artificial intelligence, it could make our business less efficient and result in competitive disadvantages.</w:t>
      </w:r>
    </w:p>
    <w:p>
      <w:pPr>
        <w:spacing w:after="0" w:line="168" w:lineRule="exact"/>
        <w:rPr>
          <w:sz w:val="20"/>
          <w:szCs w:val="20"/>
          <w:color w:val="auto"/>
        </w:rPr>
      </w:pPr>
    </w:p>
    <w:p>
      <w:pPr>
        <w:ind w:right="80" w:firstLine="480"/>
        <w:spacing w:after="0" w:line="263" w:lineRule="auto"/>
        <w:rPr>
          <w:sz w:val="20"/>
          <w:szCs w:val="20"/>
          <w:color w:val="auto"/>
        </w:rPr>
      </w:pPr>
      <w:r>
        <w:rPr>
          <w:rFonts w:ascii="Times New Roman" w:cs="Times New Roman" w:eastAsia="Times New Roman" w:hAnsi="Times New Roman"/>
          <w:sz w:val="19"/>
          <w:szCs w:val="19"/>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CROs, contractors or consultants that process or transfer personal data collected in the European Union. The GDPR, new state privacy laws and other changes in laws or regulations associated with the enhanced protection of certain types of sensitive data, such as healthcare data or other personal data from our clinical trials, and access to certain data such as</w:t>
      </w:r>
    </w:p>
    <w:p>
      <w:pPr>
        <w:spacing w:after="0" w:line="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European Health Data Space Regulation,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and results of operations. Similarly, failure to comply with federal and state laws regarding privacy and security of personal data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business.</w:t>
      </w:r>
    </w:p>
    <w:p>
      <w:pPr>
        <w:spacing w:after="0" w:line="25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and our partners may be subject to stringent privacy laws, information security laws, regulations, policies and contractual obligations related to data privacy and security, and changes in such laws, regulations, policies or how they are interpreted or changes in contractual obligations could adversely affect our business.</w:t>
      </w:r>
    </w:p>
    <w:p>
      <w:pPr>
        <w:spacing w:after="0" w:line="173"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There are numerous U.S. federal and state data privacy and protection laws and regulations that apply to the collection, transmission, processing,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73" w:lineRule="exact"/>
        <w:rPr>
          <w:sz w:val="20"/>
          <w:szCs w:val="20"/>
          <w:color w:val="auto"/>
        </w:rPr>
      </w:pPr>
    </w:p>
    <w:p>
      <w:pPr>
        <w:ind w:right="180" w:firstLine="480"/>
        <w:spacing w:after="0" w:line="263" w:lineRule="auto"/>
        <w:rPr>
          <w:sz w:val="20"/>
          <w:szCs w:val="20"/>
          <w:color w:val="auto"/>
        </w:rPr>
      </w:pPr>
      <w:r>
        <w:rPr>
          <w:rFonts w:ascii="Times New Roman" w:cs="Times New Roman" w:eastAsia="Times New Roman" w:hAnsi="Times New Roman"/>
          <w:sz w:val="19"/>
          <w:szCs w:val="19"/>
          <w:color w:val="auto"/>
        </w:rPr>
        <w:t>If we are unable to properly protect the privacy and security of health-related information or other sensitive or confidential information in our possession, we could be found to have breached our contracts. Further, if we fail to comply with applicable privacy laws, including applicable HIPAA privacy and security standards, we could face significant administrative, civil and criminal penalties. Enforcement activity can also result in financial liability and reputational harm, and responses to such enforcement activity can consume significant internal resources.</w:t>
      </w:r>
    </w:p>
    <w:p>
      <w:pPr>
        <w:spacing w:after="0" w:line="3"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20"/>
          <w:szCs w:val="20"/>
          <w:color w:val="auto"/>
        </w:rPr>
        <w:t>In addition, state attorneys general are authorized to bring civil actions seeking either injunctions or damages in response to violations that threaten the privacy of state residents.</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360"/>
          </w:cols>
          <w:pgMar w:left="1440" w:top="948" w:right="1440" w:bottom="348"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Managing Growth and Information Technology</w:t>
      </w:r>
    </w:p>
    <w:p>
      <w:pPr>
        <w:spacing w:after="0" w:line="259"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If we lose key management personnel, or if we fail to recruit additional highly skilled personnel, our ability to continue developing and to identify and develop new or next-generation product candidates will be impaired, which could result in delays in the development process, loss of market opportunities, make us less competitive and have a material adverse effect on our business, financial condition and results of operations.</w:t>
      </w:r>
    </w:p>
    <w:p>
      <w:pPr>
        <w:spacing w:after="0" w:line="171"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and retain highly qualified managerial, scientific and medical personnel. We are highly dependent on our management, particularly our Chief Executive Officer, the members of our executive team, and key scientific and medical personnel employees. The loss of the services of any of our executive officers, key employees, and scientific and medical advisors, and our inability to find suitable replacements, could result in delays in product development and harm our business.</w:t>
      </w:r>
    </w:p>
    <w:p>
      <w:pPr>
        <w:spacing w:after="0" w:line="168"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We conduct our operations at our facility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 at all. In addition, regulation or legislation impacting the workforce, such as the proposed rule published by the Federal Trade Commission which would, if issued, generally prevent employers from entering into non-compete with employees and require employers to rescind existing non-competes, may lead to increased uncertainty in hiring and competition for talent.</w:t>
      </w:r>
    </w:p>
    <w:p>
      <w:pPr>
        <w:spacing w:after="0" w:line="170"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In addition, we may experience employee turnover as a result of return to work policies or transitions away from remote work, which have impacted job market dynamics. New hires require training and take time before they achieve full productivity. New employees may not become as productive as we expect, and we may be unable to hire or retain sufficient numbers of qualified individuals. Although we have employment agreements with our key employees, these agreements provide for at-will employment, which means that any of our employees could leave our employment at any time, with or without notice. We do not maintain “key man”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26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and our management have a limited track record as an operating company. Failures in the operational execution of the expected business plans may have a material impact on our commercial prospects. Further, if we are not able to attract and retain highly-qualified personnel, we may not be able to successfully implement our business strategy.</w:t>
      </w:r>
    </w:p>
    <w:p>
      <w:pPr>
        <w:spacing w:after="0" w:line="171"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Our management team has worked together for only a limited period of time and has a limited track record of executing our business plan as a team. In addition, we have recently filled a number of positions in our finance and accounting staff. Accordingly, certain key personnel have only recently assumed the duties and responsibilities they are now performing, and it is difficult to predict whether our management team, individually and collectively, will be effective in operating our business. These changes may cause speculation and uncertainty regarding our commercial prospects and may cause or result in:</w:t>
      </w:r>
    </w:p>
    <w:p>
      <w:pPr>
        <w:spacing w:after="0" w:line="162" w:lineRule="exact"/>
        <w:rPr>
          <w:sz w:val="20"/>
          <w:szCs w:val="20"/>
          <w:color w:val="auto"/>
        </w:rPr>
      </w:pPr>
    </w:p>
    <w:p>
      <w:pPr>
        <w:ind w:left="960" w:hanging="480"/>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of our business or distraction of our employees and management;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recruiting, hiring, motivating, and retaining talented and skilled personnel;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price volatility; and</w:t>
      </w:r>
    </w:p>
    <w:p>
      <w:pPr>
        <w:spacing w:after="0" w:line="176" w:lineRule="exact"/>
        <w:rPr>
          <w:rFonts w:ascii="Times New Roman" w:cs="Times New Roman" w:eastAsia="Times New Roman" w:hAnsi="Times New Roman"/>
          <w:sz w:val="20"/>
          <w:szCs w:val="20"/>
          <w:color w:val="auto"/>
        </w:rPr>
      </w:pPr>
    </w:p>
    <w:p>
      <w:pPr>
        <w:ind w:left="960" w:right="980" w:hanging="480"/>
        <w:spacing w:after="0" w:line="243" w:lineRule="auto"/>
        <w:tabs>
          <w:tab w:leader="none" w:pos="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negotiating, maintaining, or consummating business or strategic relationships or transactions.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360"/>
          </w:cols>
          <w:pgMar w:left="1440" w:top="941" w:right="1440" w:bottom="348" w:gutter="0" w:footer="0" w:header="0"/>
          <w:type w:val="continuous"/>
        </w:sectPr>
      </w:pPr>
    </w:p>
    <w:bookmarkStart w:id="80" w:name="page81"/>
    <w:bookmarkEnd w:id="80"/>
    <w:p>
      <w:pPr>
        <w:ind w:right="740" w:firstLine="480"/>
        <w:spacing w:after="0" w:line="243" w:lineRule="auto"/>
        <w:rPr>
          <w:sz w:val="20"/>
          <w:szCs w:val="20"/>
          <w:color w:val="auto"/>
        </w:rPr>
      </w:pPr>
      <w:r>
        <w:rPr>
          <w:rFonts w:ascii="Times New Roman" w:cs="Times New Roman" w:eastAsia="Times New Roman" w:hAnsi="Times New Roman"/>
          <w:sz w:val="20"/>
          <w:szCs w:val="20"/>
          <w:color w:val="auto"/>
        </w:rPr>
        <w:t>If we are unable to mitigate these risks or to attract and retain highly qualified personnel, our revenue, operating results and financial condition may be adversely impacted.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will need to grow the size of our organization, and we may experience difficulties in managing this growth.</w:t>
      </w:r>
    </w:p>
    <w:p>
      <w:pPr>
        <w:spacing w:after="0" w:line="177" w:lineRule="exact"/>
        <w:rPr>
          <w:sz w:val="20"/>
          <w:szCs w:val="20"/>
          <w:color w:val="auto"/>
        </w:rPr>
      </w:pPr>
    </w:p>
    <w:p>
      <w:pPr>
        <w:ind w:right="180"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2025, we had 22 full-time employees. As our development, manufacturing and commercialization plans and strategies develop and we continue our operations as a public company, we expect to need and are actively recruiting additional managerial, operational, sales, marketing, financial and other personnel. Future growth would impose significant added responsibilities on members of management, including:</w:t>
      </w:r>
    </w:p>
    <w:p>
      <w:pPr>
        <w:spacing w:after="0" w:line="163" w:lineRule="exact"/>
        <w:rPr>
          <w:sz w:val="20"/>
          <w:szCs w:val="20"/>
          <w:color w:val="auto"/>
        </w:rPr>
      </w:pPr>
    </w:p>
    <w:p>
      <w:pPr>
        <w:ind w:left="960" w:hanging="480"/>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recruiting, integrating, maintaining and motivating additional employees;</w:t>
      </w:r>
    </w:p>
    <w:p>
      <w:pPr>
        <w:spacing w:after="0" w:line="176" w:lineRule="exact"/>
        <w:rPr>
          <w:rFonts w:ascii="Times New Roman" w:cs="Times New Roman" w:eastAsia="Times New Roman" w:hAnsi="Times New Roman"/>
          <w:sz w:val="20"/>
          <w:szCs w:val="20"/>
          <w:color w:val="auto"/>
        </w:rPr>
      </w:pPr>
    </w:p>
    <w:p>
      <w:pPr>
        <w:jc w:val="both"/>
        <w:ind w:left="960" w:right="140" w:hanging="480"/>
        <w:spacing w:after="0" w:line="246" w:lineRule="auto"/>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our internal development efforts effectively, including the clinical, the FDA and international regulatory review process for our product candidates, while complying with our contractual obligations to contractors and other third parties; and</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improving our operational, financial and management controls, reporting systems and procedures.</w:t>
      </w:r>
    </w:p>
    <w:p>
      <w:pPr>
        <w:spacing w:after="0" w:line="177" w:lineRule="exact"/>
        <w:rPr>
          <w:sz w:val="20"/>
          <w:szCs w:val="20"/>
          <w:color w:val="auto"/>
        </w:rPr>
      </w:pPr>
    </w:p>
    <w:p>
      <w:pPr>
        <w:jc w:val="both"/>
        <w:ind w:right="620" w:firstLine="480"/>
        <w:spacing w:after="0" w:line="246" w:lineRule="auto"/>
        <w:rPr>
          <w:sz w:val="20"/>
          <w:szCs w:val="20"/>
          <w:color w:val="auto"/>
        </w:rPr>
      </w:pPr>
      <w:r>
        <w:rPr>
          <w:rFonts w:ascii="Times New Roman" w:cs="Times New Roman" w:eastAsia="Times New Roman" w:hAnsi="Times New Roman"/>
          <w:sz w:val="20"/>
          <w:szCs w:val="20"/>
          <w:color w:val="auto"/>
        </w:rPr>
        <w:t>Our future financial performance and our ability to commercialize our product candidates will depend, in part, on our ability to effectively manage any future growth, and our management may also have to divert a disproportionate amount of time to managing these growth activities.</w:t>
      </w:r>
    </w:p>
    <w:p>
      <w:pPr>
        <w:spacing w:after="0" w:line="173"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color w:val="auto"/>
        </w:rPr>
        <w:t>We currently rely, and for the foreseeable future will continue to rely, in substantial part on certain independent organizations, advisors and consultants to provide certain services, including substantially all aspects of regulatory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We cannot assure you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if we are not able to effectively build out new facilities to accommodate this expansion, we may not be able to successfully implement the tasks necessary for further development and commercialization of our product candidates and, accordingly, may not achieve our research, development and commercialization goals.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insurance policies may be inadequate and potentially expose us to unrecoverable risks.</w:t>
      </w:r>
    </w:p>
    <w:p>
      <w:pPr>
        <w:spacing w:after="0" w:line="177"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We have limited director and officer insurance and commercial insurance policies. Any significant insurance claims would have a material adverse effect on our business, financial condition and results of operations.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We have observed rapidly changing conditions in the insurance markets relating to nearly all areas of traditional corporate insurance. Such conditions have resulted in higher premium costs, higher policy deductibles and lower coverage limits. For some risks, we may not have or maintain insurance coverage because of cost or availability.</w:t>
      </w:r>
    </w:p>
    <w:p>
      <w:pPr>
        <w:spacing w:after="0" w:line="255"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156" w:lineRule="exact"/>
        <w:rPr>
          <w:sz w:val="20"/>
          <w:szCs w:val="20"/>
          <w:color w:val="auto"/>
        </w:rPr>
      </w:pPr>
    </w:p>
    <w:p>
      <w:pPr>
        <w:ind w:right="440" w:firstLine="480"/>
        <w:spacing w:after="0" w:line="248" w:lineRule="auto"/>
        <w:rPr>
          <w:sz w:val="20"/>
          <w:szCs w:val="20"/>
          <w:color w:val="auto"/>
        </w:rPr>
      </w:pPr>
      <w:r>
        <w:rPr>
          <w:rFonts w:ascii="Times New Roman" w:cs="Times New Roman" w:eastAsia="Times New Roman" w:hAnsi="Times New Roman"/>
          <w:sz w:val="20"/>
          <w:szCs w:val="20"/>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360"/>
          </w:cols>
          <w:pgMar w:left="1440" w:top="948" w:right="1440" w:bottom="348" w:gutter="0" w:footer="0" w:header="0"/>
          <w:type w:val="continuous"/>
        </w:sectPr>
      </w:pPr>
    </w:p>
    <w:bookmarkStart w:id="81" w:name="page82"/>
    <w:bookmarkEnd w:id="81"/>
    <w:p>
      <w:pPr>
        <w:ind w:right="260"/>
        <w:spacing w:after="0" w:line="249" w:lineRule="auto"/>
        <w:rPr>
          <w:sz w:val="20"/>
          <w:szCs w:val="20"/>
          <w:color w:val="auto"/>
        </w:rPr>
      </w:pPr>
      <w:r>
        <w:rPr>
          <w:rFonts w:ascii="Times New Roman" w:cs="Times New Roman" w:eastAsia="Times New Roman" w:hAnsi="Times New Roman"/>
          <w:sz w:val="20"/>
          <w:szCs w:val="20"/>
          <w:color w:val="auto"/>
        </w:rPr>
        <w:t>and security breach, if such an event were to occur and cause interruptions in our operations, it could result in a disruption of our development programs and our business operations, whether due to a loss of our trade secrets or other proprietary information or other disruptions. For example, the loss of clinical trial data from future clinical trials could result in delays in our regulatory approval efforts and significantly increase our costs to recover or reproduce the data. We have experienced cybersecurity incidents and expect that we will continue to be subject to cybersecurity attacks in the future. If we were to experience a significant cybersecurity breach of our information systems or data, the costs associated with the investigation, remediation and potential notification of the breach to counter-parties and data subjects could be material.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77"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Although we take such steps to help protect confidential and other sensitive information from unauthorized access or disclosure, our information technology and infrastructure may be vulnerable to attacks by hackers or viruses, failures, or breaches due to third-party action, employee negligence or error, malfeasance, or other incidents or disruptions. For example, we could be the target of phishing attacks seeking confidential information regarding our employees. Furthermore, while we have implemented data privacy and security measures in an effort to comply with applicable laws and regulations relating to privacy and data protection, some health-related and other personal information or confidential information may be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health-related and other personal information or confidential information to us.</w:t>
      </w:r>
    </w:p>
    <w:p>
      <w:pPr>
        <w:spacing w:after="0" w:line="15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To the extent that we or these third parties are found to have violated such laws, rules or regulations or that any disruption or security breach were to result in a loss of, or damage to, us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252"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77"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have a material adverse effect on our business, financial condition and results of operations.</w:t>
      </w:r>
    </w:p>
    <w:p>
      <w:pPr>
        <w:spacing w:after="0" w:line="238"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b w:val="1"/>
          <w:bCs w:val="1"/>
          <w:i w:val="1"/>
          <w:iCs w:val="1"/>
          <w:color w:val="auto"/>
        </w:rPr>
        <w:t>Unstable market and economic conditions may have serious adverse consequences on our business and financial condition.</w:t>
      </w:r>
    </w:p>
    <w:p>
      <w:pPr>
        <w:spacing w:after="0" w:line="177" w:lineRule="exact"/>
        <w:rPr>
          <w:sz w:val="20"/>
          <w:szCs w:val="20"/>
          <w:color w:val="auto"/>
        </w:rPr>
      </w:pPr>
    </w:p>
    <w:p>
      <w:pPr>
        <w:ind w:right="60" w:firstLine="480"/>
        <w:spacing w:after="0" w:line="266" w:lineRule="auto"/>
        <w:rPr>
          <w:sz w:val="20"/>
          <w:szCs w:val="20"/>
          <w:color w:val="auto"/>
        </w:rPr>
      </w:pPr>
      <w:r>
        <w:rPr>
          <w:rFonts w:ascii="Times New Roman" w:cs="Times New Roman" w:eastAsia="Times New Roman" w:hAnsi="Times New Roman"/>
          <w:sz w:val="19"/>
          <w:szCs w:val="19"/>
          <w:color w:val="auto"/>
        </w:rPr>
        <w:t>Our business, financial condition and results of operations could be adversely affected by general conditions in the global economy and in the global financial markets. A severe or prolonged economic downturn could result in a variety of risks to our business, including our ability to raise additional capital when needed on acceptable terms,</w:t>
      </w:r>
    </w:p>
    <w:p>
      <w:pPr>
        <w:sectPr>
          <w:pgSz w:w="12240" w:h="15840" w:orient="portrait"/>
          <w:cols w:equalWidth="0" w:num="1">
            <w:col w:w="9360"/>
          </w:cols>
          <w:pgMar w:left="1440" w:top="948" w:right="1440" w:bottom="348"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360"/>
          </w:cols>
          <w:pgMar w:left="1440" w:top="948" w:right="1440" w:bottom="348" w:gutter="0" w:footer="0" w:header="0"/>
          <w:type w:val="continuous"/>
        </w:sectPr>
      </w:pPr>
    </w:p>
    <w:bookmarkStart w:id="82" w:name="page83"/>
    <w:bookmarkEnd w:id="82"/>
    <w:p>
      <w:pPr>
        <w:jc w:val="both"/>
        <w:ind w:right="380"/>
        <w:spacing w:after="0" w:line="248" w:lineRule="auto"/>
        <w:rPr>
          <w:sz w:val="20"/>
          <w:szCs w:val="20"/>
          <w:color w:val="auto"/>
        </w:rPr>
      </w:pPr>
      <w:r>
        <w:rPr>
          <w:rFonts w:ascii="Times New Roman" w:cs="Times New Roman" w:eastAsia="Times New Roman" w:hAnsi="Times New Roman"/>
          <w:sz w:val="20"/>
          <w:szCs w:val="20"/>
          <w:color w:val="auto"/>
        </w:rPr>
        <w:t>if at all. A weak or declining economy could also strain our suppliers, service providers, manufacturers or other partners and there is a risk that one or more would not survive or be able to meet their commitments to us under such circumstances. There can be no assurances that further deterioration in the credit and financial markets and confidence in economic conditions will not occur.</w:t>
      </w:r>
    </w:p>
    <w:p>
      <w:pPr>
        <w:spacing w:after="0" w:line="169"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For example, U.S. debt ceiling and budget deficit concerns have increased the possibility of additional credit-rating downgrades and economic slowdowns, or a recession in the United States. Although U.S. lawmakers passed legislation to raise the federal debt ceiling on multiple occasions, including a suspension of the federal debt ceiling in June 2023,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Absent further quantitative easing by the Federal Reserve, these developments could cause interest rates and borrowing costs to rise, which may negatively impact our results of operations or financial condition. Moreover, disagreement over the federal budget has caused the U.S. federal government to shut down for periods of time. Any of the foregoing could harm our business and we cannot anticipate all of the ways in which the current economic climate and financial market conditions could adversely impact our business.</w:t>
      </w:r>
    </w:p>
    <w:p>
      <w:pPr>
        <w:spacing w:after="0" w:line="175" w:lineRule="exact"/>
        <w:rPr>
          <w:sz w:val="20"/>
          <w:szCs w:val="20"/>
          <w:color w:val="auto"/>
        </w:rPr>
      </w:pPr>
    </w:p>
    <w:p>
      <w:pPr>
        <w:ind w:right="40" w:firstLine="480"/>
        <w:spacing w:after="0" w:line="263" w:lineRule="auto"/>
        <w:rPr>
          <w:sz w:val="20"/>
          <w:szCs w:val="20"/>
          <w:color w:val="auto"/>
        </w:rPr>
      </w:pPr>
      <w:r>
        <w:rPr>
          <w:rFonts w:ascii="Times New Roman" w:cs="Times New Roman" w:eastAsia="Times New Roman" w:hAnsi="Times New Roman"/>
          <w:sz w:val="19"/>
          <w:szCs w:val="19"/>
          <w:color w:val="auto"/>
        </w:rPr>
        <w:t>Furthermore, the new U.S. administration has substantially departed from prior U.S. government international trade policies and has commenced activities to renegotiate, or potentially terminate, certain existing bilateral or multi-lateral trade agreements and treaties with foreign countries. In addition, the administration has initiated tariffs on certain foreign goods and continues to consider imposing additional tariffs. Related to this action, certain foreign governments, including China, have instituted or are considering imposing reciprocal tariffs on certain U.S. goods. It remains unclear what the new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increase the cost of materials purchased to manufacture our products, impact our ability to sell our products outside the United States or to sell our products outside the United States at competitive prices and/or to affect</w:t>
      </w:r>
    </w:p>
    <w:p>
      <w:pPr>
        <w:spacing w:after="0" w:line="6"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20"/>
          <w:szCs w:val="20"/>
          <w:color w:val="auto"/>
        </w:rPr>
        <w:t>the United States or global economy or certain sectors thereof and, thus, could adversely impact our business and financial condition.</w:t>
      </w:r>
    </w:p>
    <w:p>
      <w:pPr>
        <w:spacing w:after="0" w:line="257"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56"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stated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In addition,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2" w:lineRule="exact"/>
        <w:rPr>
          <w:sz w:val="20"/>
          <w:szCs w:val="20"/>
          <w:color w:val="auto"/>
        </w:rPr>
      </w:pPr>
    </w:p>
    <w:p>
      <w:pPr>
        <w:ind w:right="140" w:firstLine="480"/>
        <w:spacing w:after="0" w:line="248" w:lineRule="auto"/>
        <w:rPr>
          <w:sz w:val="20"/>
          <w:szCs w:val="20"/>
          <w:color w:val="auto"/>
        </w:rPr>
      </w:pPr>
      <w:r>
        <w:rPr>
          <w:rFonts w:ascii="Times New Roman" w:cs="Times New Roman" w:eastAsia="Times New Roman" w:hAnsi="Times New Roman"/>
          <w:sz w:val="20"/>
          <w:szCs w:val="20"/>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360"/>
          </w:cols>
          <w:pgMar w:left="1440" w:top="948" w:right="1440" w:bottom="348" w:gutter="0" w:footer="0" w:header="0"/>
          <w:type w:val="continuous"/>
        </w:sectPr>
      </w:pPr>
    </w:p>
    <w:bookmarkStart w:id="83" w:name="page84"/>
    <w:bookmarkEnd w:id="83"/>
    <w:p>
      <w:pPr>
        <w:ind w:right="20"/>
        <w:spacing w:after="0" w:line="249" w:lineRule="auto"/>
        <w:rPr>
          <w:sz w:val="20"/>
          <w:szCs w:val="20"/>
          <w:color w:val="auto"/>
        </w:rPr>
      </w:pPr>
      <w:r>
        <w:rPr>
          <w:rFonts w:ascii="Times New Roman" w:cs="Times New Roman" w:eastAsia="Times New Roman" w:hAnsi="Times New Roman"/>
          <w:sz w:val="20"/>
          <w:szCs w:val="20"/>
          <w:color w:val="auto"/>
        </w:rPr>
        <w:t>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68" w:lineRule="exact"/>
        <w:rPr>
          <w:sz w:val="20"/>
          <w:szCs w:val="20"/>
          <w:color w:val="auto"/>
        </w:rPr>
      </w:pPr>
    </w:p>
    <w:p>
      <w:pPr>
        <w:ind w:right="180" w:firstLine="480"/>
        <w:spacing w:after="0" w:line="246" w:lineRule="auto"/>
        <w:rPr>
          <w:sz w:val="20"/>
          <w:szCs w:val="20"/>
          <w:color w:val="auto"/>
        </w:rPr>
      </w:pPr>
      <w:r>
        <w:rPr>
          <w:rFonts w:ascii="Times New Roman" w:cs="Times New Roman" w:eastAsia="Times New Roman" w:hAnsi="Times New Roman"/>
          <w:sz w:val="20"/>
          <w:szCs w:val="20"/>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73" w:lineRule="exact"/>
        <w:rPr>
          <w:sz w:val="20"/>
          <w:szCs w:val="20"/>
          <w:color w:val="auto"/>
        </w:rPr>
      </w:pPr>
    </w:p>
    <w:p>
      <w:pPr>
        <w:ind w:left="960" w:right="280" w:hanging="480"/>
        <w:spacing w:after="0" w:line="243" w:lineRule="auto"/>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delayed access to deposits or other financial assets or the uninsured loss of deposits or other financial assets;</w:t>
      </w:r>
    </w:p>
    <w:p>
      <w:pPr>
        <w:spacing w:after="0" w:line="174" w:lineRule="exact"/>
        <w:rPr>
          <w:rFonts w:ascii="Times New Roman" w:cs="Times New Roman" w:eastAsia="Times New Roman" w:hAnsi="Times New Roman"/>
          <w:sz w:val="20"/>
          <w:szCs w:val="20"/>
          <w:color w:val="auto"/>
        </w:rPr>
      </w:pPr>
    </w:p>
    <w:p>
      <w:pPr>
        <w:jc w:val="both"/>
        <w:ind w:left="960" w:right="180" w:hanging="480"/>
        <w:spacing w:after="0" w:line="246" w:lineRule="auto"/>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172" w:lineRule="exact"/>
        <w:rPr>
          <w:rFonts w:ascii="Times New Roman" w:cs="Times New Roman" w:eastAsia="Times New Roman" w:hAnsi="Times New Roman"/>
          <w:sz w:val="20"/>
          <w:szCs w:val="20"/>
          <w:color w:val="auto"/>
        </w:rPr>
      </w:pPr>
    </w:p>
    <w:p>
      <w:pPr>
        <w:ind w:left="960" w:right="200" w:hanging="480"/>
        <w:spacing w:after="0" w:line="243" w:lineRule="auto"/>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or actual breach of contractual obligations that require us to maintain letters or credit or other credit support arrangements;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or actual breach of financial covenants in our credit agreements or credit arrangements;</w:t>
      </w:r>
    </w:p>
    <w:p>
      <w:pPr>
        <w:spacing w:after="0" w:line="176" w:lineRule="exact"/>
        <w:rPr>
          <w:rFonts w:ascii="Times New Roman" w:cs="Times New Roman" w:eastAsia="Times New Roman" w:hAnsi="Times New Roman"/>
          <w:sz w:val="20"/>
          <w:szCs w:val="20"/>
          <w:color w:val="auto"/>
        </w:rPr>
      </w:pPr>
    </w:p>
    <w:p>
      <w:pPr>
        <w:ind w:left="960" w:right="720" w:hanging="480"/>
        <w:spacing w:after="0" w:line="243" w:lineRule="auto"/>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or actual cross-defaults in other credit agreements, credit arrangements or operating or financing agreements; or</w:t>
      </w:r>
    </w:p>
    <w:p>
      <w:pPr>
        <w:spacing w:after="0" w:line="174" w:lineRule="exact"/>
        <w:rPr>
          <w:rFonts w:ascii="Times New Roman" w:cs="Times New Roman" w:eastAsia="Times New Roman" w:hAnsi="Times New Roman"/>
          <w:sz w:val="20"/>
          <w:szCs w:val="20"/>
          <w:color w:val="auto"/>
        </w:rPr>
      </w:pPr>
    </w:p>
    <w:p>
      <w:pPr>
        <w:ind w:left="960" w:right="80" w:hanging="480"/>
        <w:spacing w:after="0" w:line="243" w:lineRule="auto"/>
        <w:tabs>
          <w:tab w:leader="none" w:pos="9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cash management arrangements and/or delays in accessing or actual loss of funds subject to cash management arrangements.</w:t>
      </w:r>
    </w:p>
    <w:p>
      <w:pPr>
        <w:spacing w:after="0" w:line="174" w:lineRule="exact"/>
        <w:rPr>
          <w:sz w:val="20"/>
          <w:szCs w:val="20"/>
          <w:color w:val="auto"/>
        </w:rPr>
      </w:pPr>
    </w:p>
    <w:p>
      <w:pPr>
        <w:ind w:right="220" w:firstLine="480"/>
        <w:spacing w:after="0" w:line="249" w:lineRule="auto"/>
        <w:rPr>
          <w:sz w:val="20"/>
          <w:szCs w:val="20"/>
          <w:color w:val="auto"/>
        </w:rPr>
      </w:pPr>
      <w:r>
        <w:rPr>
          <w:rFonts w:ascii="Times New Roman" w:cs="Times New Roman" w:eastAsia="Times New Roman" w:hAnsi="Times New Roman"/>
          <w:sz w:val="20"/>
          <w:szCs w:val="20"/>
          <w:color w:val="auto"/>
        </w:rPr>
        <w:t>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68" w:lineRule="exact"/>
        <w:rPr>
          <w:sz w:val="20"/>
          <w:szCs w:val="20"/>
          <w:color w:val="auto"/>
        </w:rPr>
      </w:pPr>
    </w:p>
    <w:p>
      <w:pPr>
        <w:ind w:right="40" w:firstLine="480"/>
        <w:spacing w:after="0" w:line="264" w:lineRule="auto"/>
        <w:rPr>
          <w:sz w:val="20"/>
          <w:szCs w:val="20"/>
          <w:color w:val="auto"/>
        </w:rPr>
      </w:pPr>
      <w:r>
        <w:rPr>
          <w:rFonts w:ascii="Times New Roman" w:cs="Times New Roman" w:eastAsia="Times New Roman" w:hAnsi="Times New Roman"/>
          <w:sz w:val="19"/>
          <w:szCs w:val="19"/>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our company and may have material adverse impacts on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 and Warrants</w:t>
      </w:r>
    </w:p>
    <w:p>
      <w:pPr>
        <w:spacing w:after="0" w:line="259"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our operations and performance do not meet the expectations of investors or securities analysts or for other reasons, the market price of our securities may decline, and the market price of our common stock may continue to be volatile.</w:t>
      </w:r>
    </w:p>
    <w:p>
      <w:pPr>
        <w:spacing w:after="0" w:line="173" w:lineRule="exact"/>
        <w:rPr>
          <w:sz w:val="20"/>
          <w:szCs w:val="20"/>
          <w:color w:val="auto"/>
        </w:rPr>
      </w:pPr>
    </w:p>
    <w:p>
      <w:pPr>
        <w:jc w:val="both"/>
        <w:ind w:right="420" w:firstLine="480"/>
        <w:spacing w:after="0" w:line="246" w:lineRule="auto"/>
        <w:rPr>
          <w:sz w:val="20"/>
          <w:szCs w:val="20"/>
          <w:color w:val="auto"/>
        </w:rPr>
      </w:pPr>
      <w:r>
        <w:rPr>
          <w:rFonts w:ascii="Times New Roman" w:cs="Times New Roman" w:eastAsia="Times New Roman" w:hAnsi="Times New Roman"/>
          <w:sz w:val="20"/>
          <w:szCs w:val="20"/>
          <w:color w:val="auto"/>
        </w:rPr>
        <w:t>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360"/>
          </w:cols>
          <w:pgMar w:left="1440" w:top="948" w:right="1440" w:bottom="348" w:gutter="0" w:footer="0" w:header="0"/>
          <w:type w:val="continuous"/>
        </w:sectPr>
      </w:pPr>
    </w:p>
    <w:bookmarkStart w:id="84" w:name="page85"/>
    <w:bookmarkEnd w:id="84"/>
    <w:p>
      <w:pPr>
        <w:ind w:left="480"/>
        <w:spacing w:after="0"/>
        <w:rPr>
          <w:sz w:val="20"/>
          <w:szCs w:val="20"/>
          <w:color w:val="auto"/>
        </w:rPr>
      </w:pPr>
      <w:r>
        <w:rPr>
          <w:rFonts w:ascii="Times New Roman" w:cs="Times New Roman" w:eastAsia="Times New Roman" w:hAnsi="Times New Roman"/>
          <w:sz w:val="20"/>
          <w:szCs w:val="20"/>
          <w:color w:val="auto"/>
        </w:rPr>
        <w:t>Factors affecting the trading price of our securities may include:</w:t>
      </w:r>
    </w:p>
    <w:p>
      <w:pPr>
        <w:spacing w:after="0" w:line="170" w:lineRule="exact"/>
        <w:rPr>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regulatory decisions;</w:t>
      </w:r>
    </w:p>
    <w:p>
      <w:pPr>
        <w:spacing w:after="0" w:line="176" w:lineRule="exact"/>
        <w:rPr>
          <w:rFonts w:ascii="Times New Roman" w:cs="Times New Roman" w:eastAsia="Times New Roman" w:hAnsi="Times New Roman"/>
          <w:sz w:val="20"/>
          <w:szCs w:val="20"/>
          <w:color w:val="auto"/>
        </w:rPr>
      </w:pPr>
    </w:p>
    <w:p>
      <w:pPr>
        <w:ind w:left="960" w:right="80" w:hanging="480"/>
        <w:spacing w:after="0" w:line="248"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69" w:lineRule="exact"/>
        <w:rPr>
          <w:rFonts w:ascii="Times New Roman" w:cs="Times New Roman" w:eastAsia="Times New Roman" w:hAnsi="Times New Roman"/>
          <w:sz w:val="20"/>
          <w:szCs w:val="20"/>
          <w:color w:val="auto"/>
        </w:rPr>
      </w:pPr>
    </w:p>
    <w:p>
      <w:pPr>
        <w:ind w:left="960" w:right="180" w:hanging="480"/>
        <w:spacing w:after="0" w:line="248"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conflicts in the Middle East, the ongoing conflict between Ukraine and Russia. instability in Venezuela and other geopolitical conflicts and the global impact of restrictions and sanctions imposed on Russia and the impact thereof on the markets generally, including any adverse effects on macroeconomic conditions such as inflation;</w:t>
      </w:r>
    </w:p>
    <w:p>
      <w:pPr>
        <w:spacing w:after="0" w:line="169" w:lineRule="exact"/>
        <w:rPr>
          <w:rFonts w:ascii="Times New Roman" w:cs="Times New Roman" w:eastAsia="Times New Roman" w:hAnsi="Times New Roman"/>
          <w:sz w:val="20"/>
          <w:szCs w:val="20"/>
          <w:color w:val="auto"/>
        </w:rPr>
      </w:pPr>
    </w:p>
    <w:p>
      <w:pPr>
        <w:ind w:left="960" w:right="100" w:hanging="480"/>
        <w:spacing w:after="0" w:line="243"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enrollment or results of any future clinical trials we may conduct, or changes in the development status of our product candidates;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results from, delays in or termination of clinical trials;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serious safety concerns related to the use of our product candidates;</w:t>
      </w:r>
    </w:p>
    <w:p>
      <w:pPr>
        <w:spacing w:after="0" w:line="176" w:lineRule="exact"/>
        <w:rPr>
          <w:rFonts w:ascii="Times New Roman" w:cs="Times New Roman" w:eastAsia="Times New Roman" w:hAnsi="Times New Roman"/>
          <w:sz w:val="20"/>
          <w:szCs w:val="20"/>
          <w:color w:val="auto"/>
        </w:rPr>
      </w:pPr>
    </w:p>
    <w:p>
      <w:pPr>
        <w:ind w:left="960" w:right="1340" w:hanging="480"/>
        <w:spacing w:after="0" w:line="243"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lower than expected market acceptance of our product candidates following approval for commercialization;</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by us or by any securities analysts who might cover our stock;</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176" w:lineRule="exact"/>
        <w:rPr>
          <w:rFonts w:ascii="Times New Roman" w:cs="Times New Roman" w:eastAsia="Times New Roman" w:hAnsi="Times New Roman"/>
          <w:sz w:val="20"/>
          <w:szCs w:val="20"/>
          <w:color w:val="auto"/>
        </w:rPr>
      </w:pPr>
    </w:p>
    <w:p>
      <w:pPr>
        <w:ind w:left="960" w:right="580" w:hanging="480"/>
        <w:spacing w:after="0" w:line="243"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market price and volume fluctuations of comparable companies and, in particular, those that operate in the biopharmaceutical industry;</w:t>
      </w:r>
    </w:p>
    <w:p>
      <w:pPr>
        <w:spacing w:after="0" w:line="174" w:lineRule="exact"/>
        <w:rPr>
          <w:rFonts w:ascii="Times New Roman" w:cs="Times New Roman" w:eastAsia="Times New Roman" w:hAnsi="Times New Roman"/>
          <w:sz w:val="20"/>
          <w:szCs w:val="20"/>
          <w:color w:val="auto"/>
        </w:rPr>
      </w:pPr>
    </w:p>
    <w:p>
      <w:pPr>
        <w:ind w:left="960" w:right="480" w:hanging="480"/>
        <w:spacing w:after="0" w:line="243"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about us or our industry or positive or negative recommendations or withdrawal of research coverage by securities analysts;</w:t>
      </w:r>
    </w:p>
    <w:p>
      <w:pPr>
        <w:spacing w:after="0" w:line="174" w:lineRule="exact"/>
        <w:rPr>
          <w:rFonts w:ascii="Times New Roman" w:cs="Times New Roman" w:eastAsia="Times New Roman" w:hAnsi="Times New Roman"/>
          <w:sz w:val="20"/>
          <w:szCs w:val="20"/>
          <w:color w:val="auto"/>
        </w:rPr>
      </w:pPr>
    </w:p>
    <w:p>
      <w:pPr>
        <w:ind w:left="960" w:right="1000" w:hanging="480"/>
        <w:spacing w:after="0" w:line="243"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acquisitions, strategic partnerships or divestitures;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investigations or regulatory scrutiny of our operations or lawsuits filed against us;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investors’ general perception of our business or management;</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recruitment or departure of key personnel;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performance of the equity markets;</w:t>
      </w:r>
    </w:p>
    <w:p>
      <w:pPr>
        <w:spacing w:after="0" w:line="176" w:lineRule="exact"/>
        <w:rPr>
          <w:rFonts w:ascii="Times New Roman" w:cs="Times New Roman" w:eastAsia="Times New Roman" w:hAnsi="Times New Roman"/>
          <w:sz w:val="20"/>
          <w:szCs w:val="20"/>
          <w:color w:val="auto"/>
        </w:rPr>
      </w:pPr>
    </w:p>
    <w:p>
      <w:pPr>
        <w:ind w:left="960" w:right="480" w:hanging="480"/>
        <w:spacing w:after="0" w:line="246"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or other developments relating to intellectual property rights, including patents, litigation matters and our ability to obtain, maintain, defend, protect and enforce patent and other intellectual property rights for our technologies;</w:t>
      </w:r>
    </w:p>
    <w:p>
      <w:pPr>
        <w:spacing w:after="0" w:line="166"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lawsuits, including patent or stockholder litigation;</w:t>
      </w:r>
    </w:p>
    <w:p>
      <w:pPr>
        <w:spacing w:after="0" w:line="176" w:lineRule="exact"/>
        <w:rPr>
          <w:rFonts w:ascii="Times New Roman" w:cs="Times New Roman" w:eastAsia="Times New Roman" w:hAnsi="Times New Roman"/>
          <w:sz w:val="20"/>
          <w:szCs w:val="20"/>
          <w:color w:val="auto"/>
        </w:rPr>
      </w:pPr>
    </w:p>
    <w:p>
      <w:pPr>
        <w:ind w:left="960" w:right="260" w:hanging="480"/>
        <w:spacing w:after="0" w:line="243" w:lineRule="auto"/>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changes to healthcare laws in the U.S. or foreign jurisdictions, or speculation regarding such changes;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political and economic conditions;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177"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In addition, the stock market in general, Nasdaq and pharmaceutical companies in particular have experienced extreme price and volume fluctuations that have often been unrelated or disproportionate to the operating performance of these companies. The trading price of our common stock is, and is likely to continue to be, volatile. For example, from January 2, 2025 to December 31, 2025, our closing stock price ranged from $1.58 to $21.09 per share. From January 2, 2026 to March 25, 2026, our closing stock price ranged from $1.09 to $2.05 per share.</w:t>
      </w:r>
    </w:p>
    <w:p>
      <w:pPr>
        <w:sectPr>
          <w:pgSz w:w="12240" w:h="15840" w:orient="portrait"/>
          <w:cols w:equalWidth="0" w:num="1">
            <w:col w:w="9360"/>
          </w:cols>
          <w:pgMar w:left="1440" w:top="941" w:right="1440" w:bottom="348"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360"/>
          </w:cols>
          <w:pgMar w:left="1440" w:top="941" w:right="1440" w:bottom="348" w:gutter="0" w:footer="0" w:header="0"/>
          <w:type w:val="continuous"/>
        </w:sectPr>
      </w:pPr>
    </w:p>
    <w:bookmarkStart w:id="85" w:name="page86"/>
    <w:bookmarkEnd w:id="85"/>
    <w:p>
      <w:pPr>
        <w:ind w:right="200"/>
        <w:spacing w:after="0" w:line="249" w:lineRule="auto"/>
        <w:rPr>
          <w:sz w:val="20"/>
          <w:szCs w:val="20"/>
          <w:color w:val="auto"/>
        </w:rPr>
      </w:pPr>
      <w:r>
        <w:rPr>
          <w:rFonts w:ascii="Times New Roman" w:cs="Times New Roman" w:eastAsia="Times New Roman" w:hAnsi="Times New Roman"/>
          <w:sz w:val="20"/>
          <w:szCs w:val="20"/>
          <w:color w:val="auto"/>
        </w:rPr>
        <w:t>Broad market and industry factors may negatively affect the market price of our securities, regardless of our actual operating performance. As a result of this volatility, our stockholders may not be able to sell their common stock at or above the prices at which they purchased their shares. Moreover,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5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b w:val="1"/>
          <w:bCs w:val="1"/>
          <w:i w:val="1"/>
          <w:iCs w:val="1"/>
          <w:color w:val="auto"/>
        </w:rPr>
        <w:t>Insiders have substantial control over us, which could limit your ability to affect the outcome of key transactions, including a change of control.</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As of January 31, 2026, our directors and executive officers and their affiliates beneficially owned approximately 15.1% of the outstanding shares of our common stock. As a result, these stockholders, if they act together, will be able to influence our management and affairs and all matters requiring stockholder approval, including the election of directors and approval of significant corporate transactions, such as a merger or other sale of our company or our assets. This concentration of ownership may have the effect of delaying or preventing a change in control of our company or discouraging a potential acquirer from making a tender offer or otherwise attempting to obtain control, even if that change in control would benefit our other stockholders. This significant concentration of ownership may also adversely affect the trading price for our common stock because investors often perceive disadvantages in owning stock in companies with controlling stockholders.</w:t>
      </w:r>
    </w:p>
    <w:p>
      <w:pPr>
        <w:spacing w:after="0" w:line="255"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We have incurred and will continue to incur significant increased expenses and administrative burdens as a public company, which could negatively impact our business, financial condition and results of operations.</w:t>
      </w:r>
    </w:p>
    <w:p>
      <w:pPr>
        <w:spacing w:after="0" w:line="155"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9"/>
          <w:szCs w:val="19"/>
          <w:color w:val="auto"/>
        </w:rPr>
        <w:t>We face increased legal, accounting, administrative and other costs and expenses as a public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and the securities exchanges, impose additional reporting and other obligations on public companies. Compliance with public company requirements increases costs and makes certain activities more time-consuming. Furthermore, if any issues in complying with those requirements are identified (for example, if a material weakness or significant deficiency is identified in the internal control over financial reporting), we could incur additional costs rectifying those issues, and the existence of those issues could adversely affect our reputation or investor perceptions of us. Risks associated with our status as a public company may make it more difficult to attract and retain qualified persons to serve on our board of directors or as executive officers. The reporting and other obligations imposed by these rules and regulations will continue to increase legal and financial compliance costs and the costs of related legal, accounting and administrative activities. These increased costs will require us to divert a significant amount of money that could otherwise be used to expand</w:t>
      </w:r>
    </w:p>
    <w:p>
      <w:pPr>
        <w:spacing w:after="0" w:line="8"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20"/>
          <w:szCs w:val="20"/>
          <w:color w:val="auto"/>
        </w:rPr>
        <w:t>our business and achieve strategic objectives. Advocacy efforts by stockholders and third parties may also prompt additional changes in governance and reporting requirements, which could further increase costs.</w:t>
      </w:r>
    </w:p>
    <w:p>
      <w:pPr>
        <w:spacing w:after="0" w:line="25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3" w:lineRule="exact"/>
        <w:rPr>
          <w:sz w:val="20"/>
          <w:szCs w:val="20"/>
          <w:color w:val="auto"/>
        </w:rPr>
      </w:pPr>
    </w:p>
    <w:p>
      <w:pPr>
        <w:ind w:right="360" w:firstLine="480"/>
        <w:spacing w:after="0" w:line="264" w:lineRule="auto"/>
        <w:rPr>
          <w:sz w:val="20"/>
          <w:szCs w:val="20"/>
          <w:color w:val="auto"/>
        </w:rPr>
      </w:pPr>
      <w:r>
        <w:rPr>
          <w:rFonts w:ascii="Times New Roman" w:cs="Times New Roman" w:eastAsia="Times New Roman" w:hAnsi="Times New Roman"/>
          <w:sz w:val="19"/>
          <w:szCs w:val="19"/>
          <w:color w:val="auto"/>
        </w:rPr>
        <w:t>We must continue to satisfy the Nasdaq Capital Market’s continued listing requirements, including, among other things, a minimum closing bid price requirement of $1.00 per share for 30 consecutive business days. If a company fails for 30 consecutive business days to meet the $1.00 minimum closing bid price requirement, The Nasdaq Stock Market LLC (“Nasdaq”) will send a deficiency notice to the company, advising that it has been afforded a “compliance period” of 180 calendar days to regain compliance with the applicable requirements.</w:t>
      </w:r>
    </w:p>
    <w:p>
      <w:pPr>
        <w:spacing w:after="0" w:line="158" w:lineRule="exact"/>
        <w:rPr>
          <w:sz w:val="20"/>
          <w:szCs w:val="20"/>
          <w:color w:val="auto"/>
        </w:rPr>
      </w:pPr>
    </w:p>
    <w:p>
      <w:pPr>
        <w:ind w:right="60" w:firstLine="480"/>
        <w:spacing w:after="0" w:line="248" w:lineRule="auto"/>
        <w:rPr>
          <w:sz w:val="20"/>
          <w:szCs w:val="20"/>
          <w:color w:val="auto"/>
        </w:rPr>
      </w:pPr>
      <w:r>
        <w:rPr>
          <w:rFonts w:ascii="Times New Roman" w:cs="Times New Roman" w:eastAsia="Times New Roman" w:hAnsi="Times New Roman"/>
          <w:sz w:val="20"/>
          <w:szCs w:val="20"/>
          <w:color w:val="auto"/>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w:t>
      </w:r>
    </w:p>
    <w:p>
      <w:pPr>
        <w:spacing w:after="0" w:line="169" w:lineRule="exact"/>
        <w:rPr>
          <w:sz w:val="20"/>
          <w:szCs w:val="20"/>
          <w:color w:val="auto"/>
        </w:rPr>
      </w:pPr>
    </w:p>
    <w:p>
      <w:pPr>
        <w:ind w:right="200" w:firstLine="480"/>
        <w:spacing w:after="0" w:line="266" w:lineRule="auto"/>
        <w:rPr>
          <w:sz w:val="20"/>
          <w:szCs w:val="20"/>
          <w:color w:val="auto"/>
        </w:rPr>
      </w:pPr>
      <w:r>
        <w:rPr>
          <w:rFonts w:ascii="Times New Roman" w:cs="Times New Roman" w:eastAsia="Times New Roman" w:hAnsi="Times New Roman"/>
          <w:sz w:val="19"/>
          <w:szCs w:val="19"/>
          <w:color w:val="auto"/>
        </w:rPr>
        <w:t>On October 18, 2023, we received written notice from Nasdaq indicating that, for the last 30 consecutive business days, the bid price for our common stock had closed below the minimum $1.00 per share requirement for continued listing on the Nasdaq Capital Market under Nasdaq Listing Rule 5550(a)(2). In accordance with Nasdaq</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360"/>
          </w:cols>
          <w:pgMar w:left="1440" w:top="948" w:right="1440" w:bottom="348" w:gutter="0" w:footer="0" w:header="0"/>
          <w:type w:val="continuous"/>
        </w:sectPr>
      </w:pPr>
    </w:p>
    <w:bookmarkStart w:id="86" w:name="page87"/>
    <w:bookmarkEnd w:id="86"/>
    <w:p>
      <w:pPr>
        <w:ind w:right="40"/>
        <w:spacing w:after="0" w:line="249" w:lineRule="auto"/>
        <w:rPr>
          <w:sz w:val="20"/>
          <w:szCs w:val="20"/>
          <w:color w:val="auto"/>
        </w:rPr>
      </w:pPr>
      <w:r>
        <w:rPr>
          <w:rFonts w:ascii="Times New Roman" w:cs="Times New Roman" w:eastAsia="Times New Roman" w:hAnsi="Times New Roman"/>
          <w:sz w:val="20"/>
          <w:szCs w:val="20"/>
          <w:color w:val="auto"/>
        </w:rPr>
        <w:t>Listing Rule 5810(c)(3)(A), had been provided with an initial period of 180 calendar days, or until April 15, 2024, to regain compliance. On January 3, 2024, we filed a Certificate of Second Amendment to our Second Amended and Restated Certificate of Incorporation, as amended (the “Certificate of Amendment”), with the Secretary of State of the State of Delaware to effect a 1-for-10 reverse stock split (the “Reverse Split”) of our voting common stock. The Reverse Stock Split was effective at 12:01 a.m., Eastern Time, on January 4, 2024. The Reverse Stock Split was intended for us to regain compliance with the minimum bid price requirement of $1.00 per share of our common stock for continued listing on the Nasdaq Capital Market. On January 19, 2024, we received a letter from Nasdaq notifying us that we regained full compliance with Nasdaq Listing Rule 5550(a)(2) after the closing bid price of our common stock had been at $1.00 per share or greater for ten consecutive business days from January 4, 2024 through January 18, 2024.</w:t>
      </w:r>
    </w:p>
    <w:p>
      <w:pPr>
        <w:spacing w:after="0" w:line="174"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Even though we have regained compliance with the Nasdaq Capital Market’s minimum closing bid price requirement, there is no guarantee that we will remain in compliance with such listing requirements or other listing requirements in the future. Any failure to maintain compliance with continued listing requirements of the Nasdaq Capital Market could result in delisting of our common stock from the Nasdaq Capital Market and negatively impact our company and holders of our common stock, including by reducing the willingness of investors to hold our common stock because of the resulting decreased price, liquidity and trading of our common stock, limited availability of price quotations and reduced news and analyst coverage. Delisting may adversely impact the perception of our financial condition, cause reputational harm with investors, our employees and parties conducting business with us and limit our access to debt and equity financing.</w:t>
      </w:r>
    </w:p>
    <w:p>
      <w:pPr>
        <w:spacing w:after="0" w:line="255" w:lineRule="exact"/>
        <w:rPr>
          <w:sz w:val="20"/>
          <w:szCs w:val="20"/>
          <w:color w:val="auto"/>
        </w:rPr>
      </w:pPr>
    </w:p>
    <w:p>
      <w:pPr>
        <w:ind w:right="740"/>
        <w:spacing w:after="0"/>
        <w:rPr>
          <w:sz w:val="20"/>
          <w:szCs w:val="20"/>
          <w:color w:val="auto"/>
        </w:rPr>
      </w:pPr>
      <w:r>
        <w:rPr>
          <w:rFonts w:ascii="Times New Roman" w:cs="Times New Roman" w:eastAsia="Times New Roman" w:hAnsi="Times New Roman"/>
          <w:sz w:val="20"/>
          <w:szCs w:val="20"/>
          <w:b w:val="1"/>
          <w:bCs w:val="1"/>
          <w:i w:val="1"/>
          <w:iCs w:val="1"/>
          <w:color w:val="auto"/>
        </w:rPr>
        <w:t>Our failure to timely and effectively implement controls and procedures required by Section 404(a) of the Sarbanes-Oxley Act could negatively impact our business.</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Absent an applicable exemption, we are required to provide a management’s attestation on internal controls over financial reporting, and we were not previously required to do this as a private company. The standards required for a public company under Section 404(a) of the Sarbanes-Oxley Act are significantly more stringent than those required of us when we were a privately held company. Management may not be able to effectively and timely implement controls and procedures that adequately respond to the increased regulatory compliance and reporting requirements. If we are not able to implement the additional requirements of Section 404(a) in a timely manner or with adequate compliance, we may not be able to assess whether our internal controls over financial reporting are effective, which may subject us to adverse regulatory consequences and could harm investor confidence and the market price of our securities.</w:t>
      </w:r>
    </w:p>
    <w:p>
      <w:pPr>
        <w:spacing w:after="0" w:line="255"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within the meaning of the Securities Act, and if we take advantage of certain exemptions from disclosure requirements available to smaller reporting companies, it could make our securities less attractive to investors.</w:t>
      </w:r>
    </w:p>
    <w:p>
      <w:pPr>
        <w:spacing w:after="0" w:line="173" w:lineRule="exact"/>
        <w:rPr>
          <w:sz w:val="20"/>
          <w:szCs w:val="20"/>
          <w:color w:val="auto"/>
        </w:rPr>
      </w:pPr>
    </w:p>
    <w:p>
      <w:pPr>
        <w:jc w:val="both"/>
        <w:ind w:right="180" w:firstLine="480"/>
        <w:spacing w:after="0" w:line="263" w:lineRule="auto"/>
        <w:rPr>
          <w:sz w:val="20"/>
          <w:szCs w:val="20"/>
          <w:color w:val="auto"/>
        </w:rPr>
      </w:pPr>
      <w:r>
        <w:rPr>
          <w:rFonts w:ascii="Times New Roman" w:cs="Times New Roman" w:eastAsia="Times New Roman" w:hAnsi="Times New Roman"/>
          <w:sz w:val="19"/>
          <w:szCs w:val="19"/>
          <w:color w:val="auto"/>
        </w:rPr>
        <w:t>We are a “smaller reporting company” within the meaning of the Securities Act. As such, we are eligible for and intend to take advantage of certain exemptions from various reporting requirements applicable to other public companies that are not smaller reporting companies for as long as we continue to be a smaller reporting company, including, but not limited to, not being required to comply with the auditor attestation requirements of Section 404 of the Sarbanes-Oxley Act of 2002, as amended, or the Sarbanes-Oxley Act, and (b) reduced disclosure obligations regarding executive compensation in our periodic reports and proxy statements. In addition, for as long as we</w:t>
      </w:r>
    </w:p>
    <w:p>
      <w:pPr>
        <w:spacing w:after="0" w:line="4" w:lineRule="exact"/>
        <w:rPr>
          <w:sz w:val="20"/>
          <w:szCs w:val="20"/>
          <w:color w:val="auto"/>
        </w:rPr>
      </w:pPr>
    </w:p>
    <w:p>
      <w:pPr>
        <w:ind w:right="460"/>
        <w:spacing w:after="0" w:line="243" w:lineRule="auto"/>
        <w:rPr>
          <w:sz w:val="20"/>
          <w:szCs w:val="20"/>
          <w:color w:val="auto"/>
        </w:rPr>
      </w:pPr>
      <w:r>
        <w:rPr>
          <w:rFonts w:ascii="Times New Roman" w:cs="Times New Roman" w:eastAsia="Times New Roman" w:hAnsi="Times New Roman"/>
          <w:sz w:val="20"/>
          <w:szCs w:val="20"/>
          <w:color w:val="auto"/>
        </w:rPr>
        <w:t>are deemed neither a large accelerated filer nor an accelerated filer, we will continue to use the exemption from compliance with the auditor attestation requirements of Section 404 of the Sarbanes-Oxley.</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will remain a smaller reporting company and non-accelerated filer until we have a public float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$700 million or more and annual revenues of less than $100 million, or a public float of $250 million or more. We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reassessed our public float as of June 30, 2025, and since it was less than $700 million and our annual revenues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were less than $100 million, we have determined that we will continue as a smaller reporting company and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non-accelerated filer until at least December 31, 2026. We will need to reassess, as of June 30, 2026, whether we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continue to qualify as a smaller reporting company and a non-accelerated filer for filings beyond the fiscal year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ending December 31, 2026.</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360"/>
          </w:cols>
          <w:pgMar w:left="1440" w:top="948" w:right="1440" w:bottom="348" w:gutter="0" w:footer="0" w:header="0"/>
          <w:type w:val="continuous"/>
        </w:sectPr>
      </w:pPr>
    </w:p>
    <w:bookmarkStart w:id="87" w:name="page88"/>
    <w:bookmarkEnd w:id="87"/>
    <w:p>
      <w:pPr>
        <w:ind w:right="320" w:firstLine="480"/>
        <w:spacing w:after="0" w:line="246" w:lineRule="auto"/>
        <w:rPr>
          <w:sz w:val="20"/>
          <w:szCs w:val="20"/>
          <w:color w:val="auto"/>
        </w:rPr>
      </w:pPr>
      <w:r>
        <w:rPr>
          <w:rFonts w:ascii="Times New Roman" w:cs="Times New Roman" w:eastAsia="Times New Roman" w:hAnsi="Times New Roman"/>
          <w:sz w:val="20"/>
          <w:szCs w:val="20"/>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55"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73" w:lineRule="exact"/>
        <w:rPr>
          <w:sz w:val="20"/>
          <w:szCs w:val="20"/>
          <w:color w:val="auto"/>
        </w:rPr>
      </w:pPr>
    </w:p>
    <w:p>
      <w:pPr>
        <w:ind w:right="280" w:firstLine="480"/>
        <w:spacing w:after="0" w:line="249" w:lineRule="auto"/>
        <w:rPr>
          <w:sz w:val="20"/>
          <w:szCs w:val="20"/>
          <w:color w:val="auto"/>
        </w:rPr>
      </w:pPr>
      <w:r>
        <w:rPr>
          <w:rFonts w:ascii="Times New Roman" w:cs="Times New Roman" w:eastAsia="Times New Roman" w:hAnsi="Times New Roman"/>
          <w:sz w:val="20"/>
          <w:szCs w:val="20"/>
          <w:color w:val="auto"/>
        </w:rPr>
        <w:t>The trading market for our common stock will be influenced by the research and reports that industry or financial analysts publish about us or our business. Securities and industry analysts do not currently, and may never, publish research on us. If no or few analysts commence coverage of us, the trading price of our securities would likely decrease. Even if we do obtain analyst coverage, if one or more of the analysts covering our business downgrade their evaluations of our securities, the price of our securities could decline. If one or more of these analysts cease to cover our securities, we could lose visibility in the market for our securities, which in turn could cause the price of our securities to decline.</w:t>
      </w:r>
    </w:p>
    <w:p>
      <w:pPr>
        <w:spacing w:after="0" w:line="252" w:lineRule="exact"/>
        <w:rPr>
          <w:sz w:val="20"/>
          <w:szCs w:val="20"/>
          <w:color w:val="auto"/>
        </w:rPr>
      </w:pPr>
    </w:p>
    <w:p>
      <w:pPr>
        <w:ind w:right="42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Future sales, or the perception of future sales, by us or our stockholders in the public market, the issuance of rights to purchase our common stock, including pursuant to the 2024 Plan and the 2024 ESPP, and future exercises of registration rights could result in the additional dilution of the percentage ownership of our stockholders and cause the market price for our common stock to decline.</w:t>
      </w:r>
    </w:p>
    <w:p>
      <w:pPr>
        <w:spacing w:after="0" w:line="171" w:lineRule="exact"/>
        <w:rPr>
          <w:sz w:val="20"/>
          <w:szCs w:val="20"/>
          <w:color w:val="auto"/>
        </w:rPr>
      </w:pPr>
    </w:p>
    <w:p>
      <w:pPr>
        <w:ind w:right="20" w:firstLine="480"/>
        <w:spacing w:after="0" w:line="263" w:lineRule="auto"/>
        <w:rPr>
          <w:sz w:val="20"/>
          <w:szCs w:val="20"/>
          <w:color w:val="auto"/>
        </w:rPr>
      </w:pPr>
      <w:r>
        <w:rPr>
          <w:rFonts w:ascii="Times New Roman" w:cs="Times New Roman" w:eastAsia="Times New Roman" w:hAnsi="Times New Roman"/>
          <w:sz w:val="19"/>
          <w:szCs w:val="19"/>
          <w:color w:val="auto"/>
        </w:rPr>
        <w:t>The sale of shares of our common stock, convertible securities or other equity securities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In addition, if we sell shares of our common stock, convertible securities or other equity securities, investors may be materially diluted by subsequent sales.</w:t>
      </w:r>
    </w:p>
    <w:p>
      <w:pPr>
        <w:spacing w:after="0" w:line="3" w:lineRule="exact"/>
        <w:rPr>
          <w:sz w:val="20"/>
          <w:szCs w:val="20"/>
          <w:color w:val="auto"/>
        </w:rPr>
      </w:pPr>
    </w:p>
    <w:p>
      <w:pPr>
        <w:ind w:right="440"/>
        <w:spacing w:after="0" w:line="243" w:lineRule="auto"/>
        <w:rPr>
          <w:sz w:val="20"/>
          <w:szCs w:val="20"/>
          <w:color w:val="auto"/>
        </w:rPr>
      </w:pPr>
      <w:r>
        <w:rPr>
          <w:rFonts w:ascii="Times New Roman" w:cs="Times New Roman" w:eastAsia="Times New Roman" w:hAnsi="Times New Roman"/>
          <w:sz w:val="20"/>
          <w:szCs w:val="20"/>
          <w:color w:val="auto"/>
        </w:rPr>
        <w:t>Such sales may also result in material dilution to our existing stockholders, and new investors could gain rights, preferences, and privileges senior to the holders of our common stock.</w:t>
      </w:r>
    </w:p>
    <w:p>
      <w:pPr>
        <w:spacing w:after="0" w:line="174" w:lineRule="exact"/>
        <w:rPr>
          <w:sz w:val="20"/>
          <w:szCs w:val="20"/>
          <w:color w:val="auto"/>
        </w:rPr>
      </w:pPr>
    </w:p>
    <w:p>
      <w:pPr>
        <w:ind w:right="240" w:firstLine="480"/>
        <w:spacing w:after="0" w:line="249" w:lineRule="auto"/>
        <w:rPr>
          <w:sz w:val="20"/>
          <w:szCs w:val="20"/>
          <w:color w:val="auto"/>
        </w:rPr>
      </w:pPr>
      <w:r>
        <w:rPr>
          <w:rFonts w:ascii="Times New Roman" w:cs="Times New Roman" w:eastAsia="Times New Roman" w:hAnsi="Times New Roman"/>
          <w:sz w:val="20"/>
          <w:szCs w:val="20"/>
          <w:color w:val="auto"/>
        </w:rPr>
        <w:t>Pursuant to the Jasper Therapeutics, Inc. 2024 Equity Incentive Plan (the “2024 Plan”), which became effective on June 6, 2024, we are authorized to grant equity awards to our employees, directors and consultants. In addition, pursuant to the Jasper Therapeutics, Inc. 2024 Employee Stock Purchase Plan (the “2024 ESPP”), which became effective on June 6, 2024, we are authorized to sell shares to our employees. As of December 31, 2025, 843,360 shares and 920,827 shares of our common stock are reserved for future issuance under the 2024 Plan and the 2024 ESPP, respectively.</w:t>
      </w:r>
    </w:p>
    <w:p>
      <w:pPr>
        <w:spacing w:after="0" w:line="168"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On March 14, 2022, the Compensation Committee of our Board of Directors (the “Compensation Committee”) adopted the 2022 Inducement Equity Incentive Plan (the “2022 Inducement Plan”). On June 2, 2023, the Compensation Committee approved an amendment and restatement of our 2022 Inducement Plan to increase the maximum number of shares of our voting common stock available for grant by 250,000 shares of common stock to an aggregate of 550,000 shares of common stock. As of December 31, 2025, 132,769 shares of our common stock are available for future issuance under the 2022 Inducement Plan. The 2022 Inducement Plan has not been and will not be approved by our stockholders. Under the 2022 Inducement Plan, we can grant nonstatutory stock options, restricted stock awards, stock appreciation rights, restricted stock units, performance awards and other awards, but only to an individual, as a material inducement to such individual to enter into employment with us or an affiliate of ours, who (i) has not previously been an employee or director of ours or (ii) is rehired following a bona fide period of non-employment with us.</w:t>
      </w:r>
    </w:p>
    <w:p>
      <w:pPr>
        <w:spacing w:after="0" w:line="175" w:lineRule="exact"/>
        <w:rPr>
          <w:sz w:val="20"/>
          <w:szCs w:val="20"/>
          <w:color w:val="auto"/>
        </w:rPr>
      </w:pPr>
    </w:p>
    <w:p>
      <w:pPr>
        <w:ind w:right="340"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options to purchase an aggregate of 2,246, 206 shares of our common stock and 20,000 performance-based restricted stock units were outstanding.</w:t>
      </w:r>
    </w:p>
    <w:p>
      <w:pPr>
        <w:spacing w:after="0" w:line="174" w:lineRule="exact"/>
        <w:rPr>
          <w:sz w:val="20"/>
          <w:szCs w:val="20"/>
          <w:color w:val="auto"/>
        </w:rPr>
      </w:pPr>
    </w:p>
    <w:p>
      <w:pPr>
        <w:ind w:right="720" w:firstLine="480"/>
        <w:spacing w:after="0" w:line="248" w:lineRule="auto"/>
        <w:rPr>
          <w:sz w:val="20"/>
          <w:szCs w:val="20"/>
          <w:color w:val="auto"/>
        </w:rPr>
      </w:pPr>
      <w:r>
        <w:rPr>
          <w:rFonts w:ascii="Times New Roman" w:cs="Times New Roman" w:eastAsia="Times New Roman" w:hAnsi="Times New Roman"/>
          <w:sz w:val="20"/>
          <w:szCs w:val="20"/>
          <w:color w:val="auto"/>
        </w:rPr>
        <w:t>Additionally, as of December 31, 2025, we had outstanding Pre-Funded Warrants to purchase up to an aggregate of 675,000 shares of common stock and Common Warrants to purchase up to an aggregate of 12,345,707 shares of common stock, which, if exercised, would further increase the number of shares of our common stock outstanding and the number of shares eligible for resale in the public market.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360"/>
          </w:cols>
          <w:pgMar w:left="1440" w:top="948" w:right="1440" w:bottom="348" w:gutter="0" w:footer="0" w:header="0"/>
          <w:type w:val="continuous"/>
        </w:sectPr>
      </w:pPr>
    </w:p>
    <w:bookmarkStart w:id="88" w:name="page89"/>
    <w:bookmarkEnd w:id="88"/>
    <w:p>
      <w:pPr>
        <w:jc w:val="both"/>
        <w:ind w:right="340" w:firstLine="480"/>
        <w:spacing w:after="0" w:line="248" w:lineRule="auto"/>
        <w:rPr>
          <w:sz w:val="20"/>
          <w:szCs w:val="20"/>
          <w:color w:val="auto"/>
        </w:rPr>
      </w:pPr>
      <w:r>
        <w:rPr>
          <w:rFonts w:ascii="Times New Roman" w:cs="Times New Roman" w:eastAsia="Times New Roman" w:hAnsi="Times New Roman"/>
          <w:sz w:val="20"/>
          <w:szCs w:val="20"/>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our stockholders.</w:t>
      </w:r>
    </w:p>
    <w:p>
      <w:pPr>
        <w:spacing w:after="0" w:line="25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Because there are no current plans to pay cash dividends on our common stock for the foreseeable future, you may not receive any return on investment unless you sell shares of our common stock for a price greater than that which you paid for it.</w:t>
      </w:r>
    </w:p>
    <w:p>
      <w:pPr>
        <w:spacing w:after="0" w:line="173"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may be limited by covenants of any existing and future outstanding indebtedness we or our subsidiaries incur. As a result, you may not receive any return on an investment in our common stock unless you sell your shares of our common stock for a price greater than that which you paid for it.</w:t>
      </w:r>
    </w:p>
    <w:p>
      <w:pPr>
        <w:spacing w:after="0" w:line="25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Certificate of Incorporation and under Delaware law could make an acquisition of us, which may be beneficial to our stockholders, more difficult and may prevent attempts by our stockholders to replace or remove our current management.</w:t>
      </w:r>
    </w:p>
    <w:p>
      <w:pPr>
        <w:spacing w:after="0" w:line="173" w:lineRule="exact"/>
        <w:rPr>
          <w:sz w:val="20"/>
          <w:szCs w:val="20"/>
          <w:color w:val="auto"/>
        </w:rPr>
      </w:pPr>
    </w:p>
    <w:p>
      <w:pPr>
        <w:ind w:right="160" w:firstLine="480"/>
        <w:spacing w:after="0" w:line="268" w:lineRule="auto"/>
        <w:rPr>
          <w:sz w:val="20"/>
          <w:szCs w:val="20"/>
          <w:color w:val="auto"/>
        </w:rPr>
      </w:pPr>
      <w:r>
        <w:rPr>
          <w:rFonts w:ascii="Times New Roman" w:cs="Times New Roman" w:eastAsia="Times New Roman" w:hAnsi="Times New Roman"/>
          <w:sz w:val="19"/>
          <w:szCs w:val="19"/>
          <w:color w:val="auto"/>
        </w:rPr>
        <w:t>Our Certificate of Incorporation contains provisions that could delay or prevent a change of control of us or changes in our board of directors that our stockholders might consider favorable. Some of these provisions include:</w:t>
      </w:r>
    </w:p>
    <w:p>
      <w:pPr>
        <w:spacing w:after="0" w:line="152" w:lineRule="exact"/>
        <w:rPr>
          <w:sz w:val="20"/>
          <w:szCs w:val="20"/>
          <w:color w:val="auto"/>
        </w:rPr>
      </w:pPr>
    </w:p>
    <w:p>
      <w:pPr>
        <w:ind w:left="960" w:right="600" w:hanging="480"/>
        <w:spacing w:after="0" w:line="243"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board of directors divided into three classes serving staggered three-year terms, such that not all members of our board of directors will be elected at one time;</w:t>
      </w:r>
    </w:p>
    <w:p>
      <w:pPr>
        <w:spacing w:after="0" w:line="174" w:lineRule="exact"/>
        <w:rPr>
          <w:rFonts w:ascii="Times New Roman" w:cs="Times New Roman" w:eastAsia="Times New Roman" w:hAnsi="Times New Roman"/>
          <w:sz w:val="20"/>
          <w:szCs w:val="20"/>
          <w:color w:val="auto"/>
        </w:rPr>
      </w:pPr>
    </w:p>
    <w:p>
      <w:pPr>
        <w:ind w:left="960" w:right="180" w:hanging="480"/>
        <w:spacing w:after="0" w:line="243"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through written consent, which requires that all stockholder actions be taken at a meeting of our stockholders;</w:t>
      </w:r>
    </w:p>
    <w:p>
      <w:pPr>
        <w:spacing w:after="0" w:line="174" w:lineRule="exact"/>
        <w:rPr>
          <w:rFonts w:ascii="Times New Roman" w:cs="Times New Roman" w:eastAsia="Times New Roman" w:hAnsi="Times New Roman"/>
          <w:sz w:val="20"/>
          <w:szCs w:val="20"/>
          <w:color w:val="auto"/>
        </w:rPr>
      </w:pPr>
    </w:p>
    <w:p>
      <w:pPr>
        <w:jc w:val="both"/>
        <w:ind w:left="960" w:right="340" w:hanging="480"/>
        <w:spacing w:after="0" w:line="246"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requirement that special meetings of stockholders be called only by the chairperson of our board of directors, the chief executive officer, the president, or by a majority of the total number of authorized directors;</w:t>
      </w:r>
    </w:p>
    <w:p>
      <w:pPr>
        <w:spacing w:after="0" w:line="172" w:lineRule="exact"/>
        <w:rPr>
          <w:rFonts w:ascii="Times New Roman" w:cs="Times New Roman" w:eastAsia="Times New Roman" w:hAnsi="Times New Roman"/>
          <w:sz w:val="20"/>
          <w:szCs w:val="20"/>
          <w:color w:val="auto"/>
        </w:rPr>
      </w:pPr>
    </w:p>
    <w:p>
      <w:pPr>
        <w:ind w:left="960" w:right="440" w:hanging="480"/>
        <w:spacing w:after="0" w:line="243"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requirements for stockholder proposals and nominations for election to our board of directors;</w:t>
      </w:r>
    </w:p>
    <w:p>
      <w:pPr>
        <w:spacing w:after="0" w:line="174" w:lineRule="exact"/>
        <w:rPr>
          <w:rFonts w:ascii="Times New Roman" w:cs="Times New Roman" w:eastAsia="Times New Roman" w:hAnsi="Times New Roman"/>
          <w:sz w:val="20"/>
          <w:szCs w:val="20"/>
          <w:color w:val="auto"/>
        </w:rPr>
      </w:pPr>
    </w:p>
    <w:p>
      <w:pPr>
        <w:ind w:left="960" w:right="40" w:hanging="480"/>
        <w:spacing w:after="0" w:line="266" w:lineRule="auto"/>
        <w:tabs>
          <w:tab w:leader="none" w:pos="96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53" w:lineRule="exact"/>
        <w:rPr>
          <w:rFonts w:ascii="Times New Roman" w:cs="Times New Roman" w:eastAsia="Times New Roman" w:hAnsi="Times New Roman"/>
          <w:sz w:val="19"/>
          <w:szCs w:val="19"/>
          <w:color w:val="auto"/>
        </w:rPr>
      </w:pPr>
    </w:p>
    <w:p>
      <w:pPr>
        <w:ind w:left="960" w:right="640" w:hanging="480"/>
        <w:spacing w:after="0" w:line="246"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requirement of approval of not less than two-thirds of all outstanding shares of our voting stock to amend any bylaws by stockholder action or to amend specific provisions of our Certificate of Incorporation; and</w:t>
      </w:r>
    </w:p>
    <w:p>
      <w:pPr>
        <w:spacing w:after="0" w:line="172" w:lineRule="exact"/>
        <w:rPr>
          <w:rFonts w:ascii="Times New Roman" w:cs="Times New Roman" w:eastAsia="Times New Roman" w:hAnsi="Times New Roman"/>
          <w:sz w:val="20"/>
          <w:szCs w:val="20"/>
          <w:color w:val="auto"/>
        </w:rPr>
      </w:pPr>
    </w:p>
    <w:p>
      <w:pPr>
        <w:jc w:val="both"/>
        <w:ind w:left="960" w:right="440" w:hanging="480"/>
        <w:spacing w:after="0" w:line="246"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authority of our board of directors to issue preferred stock on terms determined by our board of directors without stockholder approval and which preferred stock may include rights superior to the rights of the holders of our common stock.</w:t>
      </w:r>
    </w:p>
    <w:p>
      <w:pPr>
        <w:spacing w:after="0" w:line="173" w:lineRule="exact"/>
        <w:rPr>
          <w:sz w:val="20"/>
          <w:szCs w:val="20"/>
          <w:color w:val="auto"/>
        </w:rPr>
      </w:pPr>
    </w:p>
    <w:p>
      <w:pPr>
        <w:ind w:right="100" w:firstLine="480"/>
        <w:spacing w:after="0" w:line="264" w:lineRule="auto"/>
        <w:rPr>
          <w:sz w:val="20"/>
          <w:szCs w:val="20"/>
          <w:color w:val="auto"/>
        </w:rPr>
      </w:pPr>
      <w:r>
        <w:rPr>
          <w:rFonts w:ascii="Times New Roman" w:cs="Times New Roman" w:eastAsia="Times New Roman" w:hAnsi="Times New Roman"/>
          <w:sz w:val="19"/>
          <w:szCs w:val="19"/>
          <w:color w:val="auto"/>
        </w:rPr>
        <w:t>In addition, because we are incorporated in the State of Delaware, we are governed by the provisions of Section 203 of the General Corporation Law of the State of Delaware (“DGCL”), which may prohibit certain business combinations with stockholders owning 15% or more of our outstanding voting stock. These anti-takeover provisions and other provisions in our Certificate of Incorporation and Second Amended and Restated Bylaws (our “Bylaws”) could make it more difficult for stockholders or potential acquirors to obtain control of our board of directors or initiate actions that are opposed by our then-current board of directors and could also delay or impede a merger, tender offer, or proxy contest involving us. These provisions could also discourage proxy contests and make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360"/>
          </w:cols>
          <w:pgMar w:left="1440" w:top="948" w:right="1440" w:bottom="348" w:gutter="0" w:footer="0" w:header="0"/>
          <w:type w:val="continuous"/>
        </w:sectPr>
      </w:pPr>
    </w:p>
    <w:bookmarkStart w:id="89" w:name="page90"/>
    <w:bookmarkEnd w:id="89"/>
    <w:p>
      <w:pPr>
        <w:ind w:right="20"/>
        <w:spacing w:after="0" w:line="246" w:lineRule="auto"/>
        <w:rPr>
          <w:sz w:val="20"/>
          <w:szCs w:val="20"/>
          <w:color w:val="auto"/>
        </w:rPr>
      </w:pPr>
      <w:r>
        <w:rPr>
          <w:rFonts w:ascii="Times New Roman" w:cs="Times New Roman" w:eastAsia="Times New Roman" w:hAnsi="Times New Roman"/>
          <w:sz w:val="20"/>
          <w:szCs w:val="20"/>
          <w:color w:val="auto"/>
        </w:rPr>
        <w:t>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73" w:lineRule="exact"/>
        <w:rPr>
          <w:sz w:val="20"/>
          <w:szCs w:val="20"/>
          <w:color w:val="auto"/>
        </w:rPr>
      </w:pPr>
    </w:p>
    <w:p>
      <w:pPr>
        <w:ind w:right="120" w:firstLine="480"/>
        <w:spacing w:after="0" w:line="263" w:lineRule="auto"/>
        <w:rPr>
          <w:sz w:val="20"/>
          <w:szCs w:val="20"/>
          <w:color w:val="auto"/>
        </w:rPr>
      </w:pPr>
      <w:r>
        <w:rPr>
          <w:rFonts w:ascii="Times New Roman" w:cs="Times New Roman" w:eastAsia="Times New Roman" w:hAnsi="Times New Roman"/>
          <w:sz w:val="19"/>
          <w:szCs w:val="19"/>
          <w:color w:val="auto"/>
        </w:rPr>
        <w:t>Our Certificate of Incorporation provides that the Court of Chancery of the State of Delaware is the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Certificate of Incorporation or Bylaws;</w:t>
      </w:r>
    </w:p>
    <w:p>
      <w:pPr>
        <w:spacing w:after="0" w:line="4" w:lineRule="exact"/>
        <w:rPr>
          <w:sz w:val="20"/>
          <w:szCs w:val="20"/>
          <w:color w:val="auto"/>
        </w:rPr>
      </w:pPr>
    </w:p>
    <w:p>
      <w:pPr>
        <w:ind w:right="20"/>
        <w:spacing w:after="0" w:line="263" w:lineRule="auto"/>
        <w:tabs>
          <w:tab w:leader="none" w:pos="33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or proceeding to interpret, apply, enforce, or determine the validity of our Certificate of Incorporation or Bylaws; (v) any action or proceeding as to which the DGCL confers jurisdiction to the Court of Chancery of</w:t>
      </w:r>
    </w:p>
    <w:p>
      <w:pPr>
        <w:spacing w:after="0" w:line="1" w:lineRule="exact"/>
        <w:rPr>
          <w:rFonts w:ascii="Times New Roman" w:cs="Times New Roman" w:eastAsia="Times New Roman" w:hAnsi="Times New Roman"/>
          <w:sz w:val="19"/>
          <w:szCs w:val="19"/>
          <w:color w:val="auto"/>
        </w:rPr>
      </w:pPr>
    </w:p>
    <w:p>
      <w:pPr>
        <w:ind w:right="20"/>
        <w:spacing w:after="0" w:line="24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provides that the federal district courts of the United States of America shall be exclusive forum for resolving any complaint asserting a cause of action arising under the Securities Act, including all causes of action asserted against any defendant named in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 provisions may not be enforced by a court in those other jurisdictions.</w:t>
      </w:r>
    </w:p>
    <w:p>
      <w:pPr>
        <w:spacing w:after="0" w:line="181"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These exclusive forum provisions may limit a stockholder’s ability to bring a claim in a judicial forum that it finds favorable for disputes with us or our directors, officers, or other employees and may discourage these types of lawsuits. In addition, a stockholder that is unable to bring a claim in the judicial forum of its choosing may be required to incur additional costs in the pursuit of actions that are subject to these exclusive forum provisions, particularly if the stockholder does not reside in or near Delaware.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Certificate of Incorporation to be inapplicable or unenforceable in an action, we may incur further significant additional costs associated with resolving such action in other jurisdictions, all of which could seriously harm our business.</w:t>
      </w:r>
    </w:p>
    <w:p>
      <w:pPr>
        <w:spacing w:after="0" w:line="25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b w:val="1"/>
          <w:bCs w:val="1"/>
          <w:i w:val="1"/>
          <w:iCs w:val="1"/>
          <w:color w:val="auto"/>
        </w:rPr>
        <w:t>Any exercise of the outstanding warrants to purchase shares of our common stock would increase the number of shares eligible for future resale in the public market and result in dilution to our stockholders.</w:t>
      </w:r>
    </w:p>
    <w:p>
      <w:pPr>
        <w:spacing w:after="0" w:line="177" w:lineRule="exact"/>
        <w:rPr>
          <w:sz w:val="20"/>
          <w:szCs w:val="20"/>
          <w:color w:val="auto"/>
        </w:rPr>
      </w:pPr>
    </w:p>
    <w:p>
      <w:pPr>
        <w:ind w:right="320" w:firstLine="480"/>
        <w:spacing w:after="0" w:line="263" w:lineRule="auto"/>
        <w:rPr>
          <w:sz w:val="20"/>
          <w:szCs w:val="20"/>
          <w:color w:val="auto"/>
        </w:rPr>
      </w:pPr>
      <w:r>
        <w:rPr>
          <w:rFonts w:ascii="Times New Roman" w:cs="Times New Roman" w:eastAsia="Times New Roman" w:hAnsi="Times New Roman"/>
          <w:sz w:val="19"/>
          <w:szCs w:val="19"/>
          <w:color w:val="auto"/>
        </w:rPr>
        <w:t>Outstanding warrants to purchase an aggregate of 499,986 shares of our common stock became exercisable in accordance with the terms of the Warrant Agreement, dated November 19, 2019, between Continental Stock Transfer &amp; Trust Company, as warrant agent, and us (the “Warrant Agreement”) commencing on October 24,</w:t>
      </w:r>
    </w:p>
    <w:p>
      <w:pPr>
        <w:spacing w:after="0" w:line="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9"/>
          <w:szCs w:val="19"/>
          <w:color w:val="auto"/>
        </w:rPr>
        <w:t>2021 (the “Public Warrants”). As of December 31, 2025, 4,999,863 Public Warrants to purchase an aggregate of 499,986 shares of our common stock were outstanding. The exercise price of these Public Warrants is $115.00 per share for every ten Public Warrants. To the extent such Public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Public Warrants may be exercised could adversely affect the prevailing market prices of our common stock. However, there is no guarantee that the Public Warrants will ever be in the money prior to their</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360"/>
          </w:cols>
          <w:pgMar w:left="1440" w:top="948" w:right="1440" w:bottom="348" w:gutter="0" w:footer="0" w:header="0"/>
          <w:type w:val="continuous"/>
        </w:sectPr>
      </w:pPr>
    </w:p>
    <w:bookmarkStart w:id="90" w:name="page91"/>
    <w:bookmarkEnd w:id="90"/>
    <w:p>
      <w:pPr>
        <w:jc w:val="both"/>
        <w:ind w:right="80"/>
        <w:spacing w:after="0" w:line="266" w:lineRule="auto"/>
        <w:rPr>
          <w:sz w:val="20"/>
          <w:szCs w:val="20"/>
          <w:color w:val="auto"/>
        </w:rPr>
      </w:pPr>
      <w:r>
        <w:rPr>
          <w:rFonts w:ascii="Times New Roman" w:cs="Times New Roman" w:eastAsia="Times New Roman" w:hAnsi="Times New Roman"/>
          <w:sz w:val="19"/>
          <w:szCs w:val="19"/>
          <w:color w:val="auto"/>
        </w:rPr>
        <w:t>expiration, and as such, the Public Warrants may expire worthless. See below risk factor, “</w:t>
      </w:r>
      <w:r>
        <w:rPr>
          <w:rFonts w:ascii="Times New Roman" w:cs="Times New Roman" w:eastAsia="Times New Roman" w:hAnsi="Times New Roman"/>
          <w:sz w:val="19"/>
          <w:szCs w:val="19"/>
          <w:i w:val="1"/>
          <w:iCs w:val="1"/>
          <w:color w:val="auto"/>
        </w:rPr>
        <w:t>The Public Warrants may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never be in the money, they may expire worthless and the terms of the Public Warrants may be amended in a manner adverse to a holder if holders of at least 50% of the then-outstanding Public Warrants approve of such amendment</w:t>
      </w:r>
      <w:r>
        <w:rPr>
          <w:rFonts w:ascii="Times New Roman" w:cs="Times New Roman" w:eastAsia="Times New Roman" w:hAnsi="Times New Roman"/>
          <w:sz w:val="19"/>
          <w:szCs w:val="19"/>
          <w:color w:val="auto"/>
        </w:rPr>
        <w:t>.”</w:t>
      </w:r>
    </w:p>
    <w:p>
      <w:pPr>
        <w:spacing w:after="0" w:line="154"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Additionally, as of December 31, 2025, we had outstanding Pre-Funded Warrants to purchase up to an aggregate of 675,000 shares of common stock and Common Warrants to purchase up to an aggregate of 12,345,707 shares of common stock, which, if exercised, would further increase the number of shares of our common stock outstanding and the number of shares eligible for resale in the public market. The exercise price of each Pre-Funded Warrant is $0.0001. Each Pre-Funded Warrant is exercisable at any time after the date of issuance, and will expire on the date it is exercised in full. The exercise price of each Common Warrant is $2.92. Each Common Warrant is exercisable commencing on the six month anniversary of the date of issuance and thereafter for a period of four years.</w:t>
      </w:r>
    </w:p>
    <w:p>
      <w:pPr>
        <w:spacing w:after="0" w:line="25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The Public Warrants may never be in the money, they may expire worthless and the terms of the Public Warrants may be amended in a manner adverse to a holder if holders of at least 50% of the then-outstanding Public Warrants approve of such amendment.</w:t>
      </w:r>
    </w:p>
    <w:p>
      <w:pPr>
        <w:spacing w:after="0" w:line="173" w:lineRule="exact"/>
        <w:rPr>
          <w:sz w:val="20"/>
          <w:szCs w:val="20"/>
          <w:color w:val="auto"/>
        </w:rPr>
      </w:pPr>
    </w:p>
    <w:p>
      <w:pPr>
        <w:ind w:right="340" w:firstLine="480"/>
        <w:spacing w:after="0" w:line="263" w:lineRule="auto"/>
        <w:rPr>
          <w:sz w:val="20"/>
          <w:szCs w:val="20"/>
          <w:color w:val="auto"/>
        </w:rPr>
      </w:pPr>
      <w:r>
        <w:rPr>
          <w:rFonts w:ascii="Times New Roman" w:cs="Times New Roman" w:eastAsia="Times New Roman" w:hAnsi="Times New Roman"/>
          <w:sz w:val="19"/>
          <w:szCs w:val="19"/>
          <w:color w:val="auto"/>
        </w:rPr>
        <w:t>The Public Warrants were issued in registered form under the Warrant Agreement. The Warrant Agreement provides that the terms of the Public Warrants may be amended without the consent of any holder to cure any ambiguity or correct any defective provision or correct any mistake, but requires the approval by the holders</w:t>
      </w:r>
    </w:p>
    <w:p>
      <w:pPr>
        <w:spacing w:after="0" w:line="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shorten the exercise period, or decrease the number of shares of our common stock purchasable upon exercise of a Public Warrant.</w:t>
      </w:r>
    </w:p>
    <w:p>
      <w:pPr>
        <w:spacing w:after="0" w:line="240"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0"/>
          <w:szCs w:val="20"/>
          <w:b w:val="1"/>
          <w:bCs w:val="1"/>
          <w:i w:val="1"/>
          <w:iCs w:val="1"/>
          <w:color w:val="auto"/>
        </w:rPr>
        <w:t>We may redeem your unexpired Public Warrants prior to their exercise at a time that is disadvantageous to you, thereby making your Public Warrants worthless.</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We have the ability to redeem outstanding Public Warrants at any time after they become exercisable and prior to their expiration, at a price of $0.10 per Public Warrant, provided that the last reported sales price of our common stock equals or exceeds $180.00 per share (as adjusted for share subdivisions, share dividends, rights issuances, subdivisions, reorganizations, recapitalizations, and the like) for any 20 trading days within a 30-trading-day period ending on the third trading day prior to the date we send the notice of redemption to the warrantholders.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that, at the time the outstanding Public Warrants are called for redemption, is likely to be substantially less than the market value of your Public Warrants.</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In addition, we may redeem the Public Warrants at any time after they become exercisable and prior to their expiration at a price of $1.00 per Public Warrant upon a minimum of 30 days’ prior written notice of redemption; provided that holders will be able to exercise their Public Warrants prior to redemption for a number of our common stock determined based on the redemption date and the fair market value of our common stock. The value received upon exercise of the Public Warrants (1) may be less than the value the holders would have received if they had exercised their Public Warrants at a later time where the underlying share price is higher and (2) may not compensate the holders for the value of the Public Warrants.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360"/>
          </w:cols>
          <w:pgMar w:left="1440" w:top="948" w:right="1440" w:bottom="348"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 Management and Strategy</w:t>
      </w:r>
    </w:p>
    <w:p>
      <w:pPr>
        <w:spacing w:after="0" w:line="177" w:lineRule="exact"/>
        <w:rPr>
          <w:sz w:val="20"/>
          <w:szCs w:val="20"/>
          <w:color w:val="auto"/>
        </w:rPr>
      </w:pPr>
    </w:p>
    <w:p>
      <w:pPr>
        <w:ind w:right="80" w:firstLine="480"/>
        <w:spacing w:after="0" w:line="265" w:lineRule="auto"/>
        <w:rPr>
          <w:sz w:val="20"/>
          <w:szCs w:val="20"/>
          <w:color w:val="auto"/>
        </w:rPr>
      </w:pPr>
      <w:r>
        <w:rPr>
          <w:rFonts w:ascii="Times New Roman" w:cs="Times New Roman" w:eastAsia="Times New Roman" w:hAnsi="Times New Roman"/>
          <w:sz w:val="19"/>
          <w:szCs w:val="19"/>
          <w:color w:val="auto"/>
        </w:rPr>
        <w:t>Our Information Security team manages our Information Security Program, which is focused on assessing, identifying, and managing cyber risk and information security threats. We evaluate cybersecurity risk on an ongoing basis, and it is a risk monitored through our overall enterprise risk management program, including by the executive leadership and our Board of Directors (the “Board”), as described below under the sub-heading “</w:t>
      </w:r>
      <w:r>
        <w:rPr>
          <w:rFonts w:ascii="Times New Roman" w:cs="Times New Roman" w:eastAsia="Times New Roman" w:hAnsi="Times New Roman"/>
          <w:sz w:val="19"/>
          <w:szCs w:val="19"/>
          <w:i w:val="1"/>
          <w:iCs w:val="1"/>
          <w:color w:val="auto"/>
        </w:rPr>
        <w:t>Governance</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ind w:right="100" w:firstLine="480"/>
        <w:spacing w:after="0" w:line="248" w:lineRule="auto"/>
        <w:rPr>
          <w:sz w:val="20"/>
          <w:szCs w:val="20"/>
          <w:color w:val="auto"/>
        </w:rPr>
      </w:pPr>
      <w:r>
        <w:rPr>
          <w:rFonts w:ascii="Times New Roman" w:cs="Times New Roman" w:eastAsia="Times New Roman" w:hAnsi="Times New Roman"/>
          <w:sz w:val="20"/>
          <w:szCs w:val="20"/>
          <w:color w:val="auto"/>
        </w:rPr>
        <w:t>To proactively manage cybersecurity risk in our organization, our management team has instituted an Information Technology Security Policy that is available to all employees through our Quality Management System. We also conduct regular cybersecurity awareness and training campaigns for existing employees. Stakeholders can access Jasper’s Information Technology helpdesk 24/7 online or by phone, to report any security incidents for escalation.</w:t>
      </w:r>
    </w:p>
    <w:p>
      <w:pPr>
        <w:spacing w:after="0" w:line="172"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To proactively identify, mitigate, and prepare for potential cybersecurity incidents, we maintain a cyber incident response plan with formalized workflows and playbooks. We conduct simulation exercises involving employees at various levels of the organization. We also periodically engage external partners to conduct annual audits of our systems and test our Information Technology infrastructure. Through these channels and others, we work to proactively identify potential vulnerabilities in our information security system. We recognize that we are exposed to cybersecurity threats associated with our use of third-party service providers. To minimize the risk and vulnerabilities to our own systems stemming from such use, our Information Security team identifies, and addresses known cybersecurity threats and incidents at third-party service providers on a continuous basis. In addition, we strive to minimize cybersecurity risks when we first select or renew a vendor by including cybersecurity risk as part of our overall vendor evaluation and due diligence process.</w:t>
      </w:r>
    </w:p>
    <w:p>
      <w:pPr>
        <w:spacing w:after="0" w:line="174" w:lineRule="exact"/>
        <w:rPr>
          <w:sz w:val="20"/>
          <w:szCs w:val="20"/>
          <w:color w:val="auto"/>
        </w:rPr>
      </w:pPr>
    </w:p>
    <w:p>
      <w:pPr>
        <w:ind w:right="160" w:firstLine="480"/>
        <w:spacing w:after="0" w:line="248" w:lineRule="auto"/>
        <w:rPr>
          <w:sz w:val="20"/>
          <w:szCs w:val="20"/>
          <w:color w:val="auto"/>
        </w:rPr>
      </w:pPr>
      <w:r>
        <w:rPr>
          <w:rFonts w:ascii="Times New Roman" w:cs="Times New Roman" w:eastAsia="Times New Roman" w:hAnsi="Times New Roman"/>
          <w:sz w:val="20"/>
          <w:szCs w:val="20"/>
          <w:color w:val="auto"/>
        </w:rPr>
        <w:t>Our risks associated with cybersecurity threats are set forth under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in Part I, Item 1A in this report. Except as set forth therein, risks from cybersecurity threats, including as a result of any previous cybersecurity incidents, have not materially affected and are not reasonably likely to materially affect our company, including our business strategy, results of operations, or financial condition.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Governance</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The Board, in coordination with the Audit Committee of the Board (the “Audit Committee”), oversees our risk management program, including the management of cybersecurity threats. The Board and the Audit Committee each receive regular presentations and reports on developments in the cybersecurity space, including risk management practices, recent developments, evolving standards, vulnerability assessments, third-party and independent reviews, the threat environment, technological trends, and information security issues encountered by our peers and third parties. The Board and the Audit Committee also receive prompt and timely information regarding any cybersecurity risk that meets pre-established reporting thresholds, as well as ongoing updates regarding any such risk. On an annual basis, the Board and the Audit Committee discuss our approach to overseeing cybersecurity threats with our CFO and other members of senior management. Our CEO, CFO and other members of our senior management collectively have several decades of experience managing risk at our company or similar companies and assessing cybersecurity threats.</w:t>
      </w:r>
    </w:p>
    <w:p>
      <w:pPr>
        <w:spacing w:after="0" w:line="2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77" w:lineRule="exact"/>
        <w:rPr>
          <w:sz w:val="20"/>
          <w:szCs w:val="20"/>
          <w:color w:val="auto"/>
        </w:rPr>
      </w:pPr>
    </w:p>
    <w:p>
      <w:pPr>
        <w:ind w:right="200" w:firstLine="480"/>
        <w:spacing w:after="0" w:line="248" w:lineRule="auto"/>
        <w:rPr>
          <w:sz w:val="20"/>
          <w:szCs w:val="20"/>
          <w:color w:val="auto"/>
        </w:rPr>
      </w:pPr>
      <w:r>
        <w:rPr>
          <w:rFonts w:ascii="Times New Roman" w:cs="Times New Roman" w:eastAsia="Times New Roman" w:hAnsi="Times New Roman"/>
          <w:sz w:val="20"/>
          <w:szCs w:val="20"/>
          <w:color w:val="auto"/>
        </w:rPr>
        <w:t>We lease a total of approximately 25,900 square feet of space across two buildings for our headquarters in Redwood City, California under a single lease agreement that expires in August 2026. Thereafter, at our option, we may extend the term for an additional five years to August 2031. We believe that our existing facilities are adequate to meet our current needs, and that suitable additional alternative spaces will be available in the future on commercially reasonable terms.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360"/>
          </w:cols>
          <w:pgMar w:left="1440" w:top="941" w:right="1440" w:bottom="348" w:gutter="0" w:footer="0" w:header="0"/>
          <w:type w:val="continuous"/>
        </w:sectPr>
      </w:pPr>
    </w:p>
    <w:bookmarkStart w:id="92" w:name="page93"/>
    <w:bookmarkEnd w:id="92"/>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3.</w:t>
        <w:tab/>
        <w:t>LEGAL PROCEEDINGS</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We, from time to time, may be party to litigation arising in the ordinary course of business. On September 19, 2025, a shareholder class action complaint captioned </w:t>
      </w:r>
      <w:r>
        <w:rPr>
          <w:rFonts w:ascii="Times New Roman" w:cs="Times New Roman" w:eastAsia="Times New Roman" w:hAnsi="Times New Roman"/>
          <w:sz w:val="20"/>
          <w:szCs w:val="20"/>
          <w:i w:val="1"/>
          <w:iCs w:val="1"/>
          <w:color w:val="auto"/>
        </w:rPr>
        <w:t>Grant v. Jasper Therapeutics, Inc., et al.</w:t>
      </w:r>
      <w:r>
        <w:rPr>
          <w:rFonts w:ascii="Times New Roman" w:cs="Times New Roman" w:eastAsia="Times New Roman" w:hAnsi="Times New Roman"/>
          <w:sz w:val="20"/>
          <w:szCs w:val="20"/>
          <w:color w:val="auto"/>
        </w:rPr>
        <w:t xml:space="preserve"> (Case No. 25-cv-08010) was filed in the United States District Court for the Northern District of California against us and certain of our current and former officers. The complaint alleges that certain material misstatements or omissions related to the ongoing clinical studies of briquilimab were made in violation of federal securities laws. The plaintiffs are seeking unspecified monetary damages and an award of costs and expenses, including reasonable attorneys’ fees, expert fees and other costs. On December 3, 2025, a stipulated order was entered appointing co-lead plaintiffs and approving their selection of co-lead counsel, and on December 16, 2025, a stipulated order was entered setting a schedule</w:t>
      </w:r>
    </w:p>
    <w:p>
      <w:pPr>
        <w:spacing w:after="0" w:line="11"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 xml:space="preserve">for the filing and responses to an amended complaint. Per the terms of the December 16, 2025 stipulated order, an amended complaint captioned </w:t>
      </w:r>
      <w:r>
        <w:rPr>
          <w:rFonts w:ascii="Times New Roman" w:cs="Times New Roman" w:eastAsia="Times New Roman" w:hAnsi="Times New Roman"/>
          <w:sz w:val="20"/>
          <w:szCs w:val="20"/>
          <w:i w:val="1"/>
          <w:iCs w:val="1"/>
          <w:color w:val="auto"/>
        </w:rPr>
        <w:t>Allard, et al. v. Jasper Therapeutics, Inc., et al.</w:t>
      </w:r>
      <w:r>
        <w:rPr>
          <w:rFonts w:ascii="Times New Roman" w:cs="Times New Roman" w:eastAsia="Times New Roman" w:hAnsi="Times New Roman"/>
          <w:sz w:val="20"/>
          <w:szCs w:val="20"/>
          <w:color w:val="auto"/>
        </w:rPr>
        <w:t xml:space="preserve"> (Case No. 25-cv-08010) was filed, and defendants’ responses to that amended complaint are due on or about April 20, 2026.</w:t>
      </w:r>
    </w:p>
    <w:p>
      <w:pPr>
        <w:spacing w:after="0" w:line="173"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addition, on November 5, 2025, a shareholder derivative complaint captioned </w:t>
      </w:r>
      <w:r>
        <w:rPr>
          <w:rFonts w:ascii="Times New Roman" w:cs="Times New Roman" w:eastAsia="Times New Roman" w:hAnsi="Times New Roman"/>
          <w:sz w:val="20"/>
          <w:szCs w:val="20"/>
          <w:i w:val="1"/>
          <w:iCs w:val="1"/>
          <w:color w:val="auto"/>
        </w:rPr>
        <w:t>Bardauskas v. Martell, et al</w:t>
      </w:r>
      <w:r>
        <w:rPr>
          <w:rFonts w:ascii="Times New Roman" w:cs="Times New Roman" w:eastAsia="Times New Roman" w:hAnsi="Times New Roman"/>
          <w:sz w:val="20"/>
          <w:szCs w:val="20"/>
          <w:color w:val="auto"/>
        </w:rPr>
        <w:t xml:space="preserve">. (Case No. 25-cv-09561) was filed in the United States District Court for the Northern District of California, and on December 22, 2025, another shareholder derivative complaint was filed in the same court and captioned </w:t>
      </w:r>
      <w:r>
        <w:rPr>
          <w:rFonts w:ascii="Times New Roman" w:cs="Times New Roman" w:eastAsia="Times New Roman" w:hAnsi="Times New Roman"/>
          <w:sz w:val="20"/>
          <w:szCs w:val="20"/>
          <w:i w:val="1"/>
          <w:iCs w:val="1"/>
          <w:color w:val="auto"/>
        </w:rPr>
        <w:t>Walsh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v. Martell, et al. </w:t>
      </w:r>
      <w:r>
        <w:rPr>
          <w:rFonts w:ascii="Times New Roman" w:cs="Times New Roman" w:eastAsia="Times New Roman" w:hAnsi="Times New Roman"/>
          <w:sz w:val="20"/>
          <w:szCs w:val="20"/>
          <w:color w:val="auto"/>
        </w:rPr>
        <w:t>(Case No. 25-cv-10899). The derivative complaints name as defendants certain of our current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former officers and directors, and allege claims related to the allegations raised in the shareholder class action complaint. On January 21, 2026, a stipulated order was entered, among other things, consolidating and staying the derivative actions. We believe the claims raised in these lawsuits are without merit, and we intend to defend these matters vigorously. However, there can be no assurance that we will prevail. We are unable to determine whether any loss ultimately will occur or to estimate the range of such loss; therefore, no amount of loss has been accrued by us in our financial statements as of and for the year ended December 31, 2025. Regardless of outcome, litigation can have an adverse impact on us due to costs involved, diversion of management resources, negative publicity, reputational harm, and other factors.</w:t>
      </w:r>
    </w:p>
    <w:p>
      <w:pPr>
        <w:spacing w:after="0" w:line="177" w:lineRule="exact"/>
        <w:rPr>
          <w:sz w:val="20"/>
          <w:szCs w:val="20"/>
          <w:color w:val="auto"/>
        </w:rPr>
      </w:pPr>
    </w:p>
    <w:p>
      <w:pPr>
        <w:ind w:right="20" w:firstLine="480"/>
        <w:spacing w:after="0" w:line="246" w:lineRule="auto"/>
        <w:rPr>
          <w:sz w:val="20"/>
          <w:szCs w:val="20"/>
          <w:color w:val="auto"/>
        </w:rPr>
      </w:pPr>
      <w:r>
        <w:rPr>
          <w:rFonts w:ascii="Times New Roman" w:cs="Times New Roman" w:eastAsia="Times New Roman" w:hAnsi="Times New Roman"/>
          <w:sz w:val="20"/>
          <w:szCs w:val="20"/>
          <w:color w:val="auto"/>
        </w:rPr>
        <w:t>From time to time, we may be party to other lawsuits in the ordinary course of business. We believe that we are not currently a party to any other legal proceedings which, individually or in the aggregate, would have a material adverse effect on our consolidated financial position, results of operations or cash flows.</w:t>
      </w:r>
    </w:p>
    <w:p>
      <w:pPr>
        <w:spacing w:after="0" w:line="24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360"/>
          </w:cols>
          <w:pgMar w:left="1440" w:top="941" w:right="1440" w:bottom="348"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5" w:lineRule="exact"/>
        <w:rPr>
          <w:sz w:val="20"/>
          <w:szCs w:val="20"/>
          <w:color w:val="auto"/>
        </w:rPr>
      </w:pPr>
    </w:p>
    <w:p>
      <w:pPr>
        <w:ind w:left="960" w:right="980" w:hanging="959"/>
        <w:spacing w:after="0" w:line="270"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MARKET FOR REGISTRANT’S COMMON EQUITY, RELATED STOCKHOLDER MATTERS AND ISSUER PURCHASES OF EQUITY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77" w:lineRule="exact"/>
        <w:rPr>
          <w:sz w:val="20"/>
          <w:szCs w:val="20"/>
          <w:color w:val="auto"/>
        </w:rPr>
      </w:pPr>
    </w:p>
    <w:p>
      <w:pPr>
        <w:ind w:right="20" w:firstLine="480"/>
        <w:spacing w:after="0" w:line="246" w:lineRule="auto"/>
        <w:rPr>
          <w:sz w:val="20"/>
          <w:szCs w:val="20"/>
          <w:color w:val="auto"/>
        </w:rPr>
      </w:pPr>
      <w:r>
        <w:rPr>
          <w:rFonts w:ascii="Times New Roman" w:cs="Times New Roman" w:eastAsia="Times New Roman" w:hAnsi="Times New Roman"/>
          <w:sz w:val="20"/>
          <w:szCs w:val="20"/>
          <w:color w:val="auto"/>
        </w:rPr>
        <w:t>Our common stock and Public Warrants are currently listed on the Nasdaq Capital Market under the symbols “JSPR” and “JSPRW,” respectively. As of March 20, 2026, there were 5 holders of record of our common stock and 1 holder of record of our Public Warrants.</w:t>
      </w:r>
    </w:p>
    <w:p>
      <w:pPr>
        <w:spacing w:after="0" w:line="173" w:lineRule="exact"/>
        <w:rPr>
          <w:sz w:val="20"/>
          <w:szCs w:val="20"/>
          <w:color w:val="auto"/>
        </w:rPr>
      </w:pPr>
    </w:p>
    <w:p>
      <w:pPr>
        <w:ind w:right="40" w:firstLine="480"/>
        <w:spacing w:after="0" w:line="243" w:lineRule="auto"/>
        <w:rPr>
          <w:sz w:val="20"/>
          <w:szCs w:val="20"/>
          <w:color w:val="auto"/>
        </w:rPr>
      </w:pPr>
      <w:r>
        <w:rPr>
          <w:rFonts w:ascii="Times New Roman" w:cs="Times New Roman" w:eastAsia="Times New Roman" w:hAnsi="Times New Roman"/>
          <w:sz w:val="20"/>
          <w:szCs w:val="20"/>
          <w:color w:val="auto"/>
        </w:rPr>
        <w:t>Prior to the consummation of the Business Combination, AMHC’s Class A Common Stock, units and warrants were listed on Nasdaq under the symbols “AMHCU,” “AMHC” and “AMHCW,”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77" w:lineRule="exact"/>
        <w:rPr>
          <w:sz w:val="20"/>
          <w:szCs w:val="20"/>
          <w:color w:val="auto"/>
        </w:rPr>
      </w:pPr>
    </w:p>
    <w:p>
      <w:pPr>
        <w:ind w:firstLine="480"/>
        <w:spacing w:after="0" w:line="263" w:lineRule="auto"/>
        <w:rPr>
          <w:sz w:val="20"/>
          <w:szCs w:val="20"/>
          <w:color w:val="auto"/>
        </w:rPr>
      </w:pPr>
      <w:r>
        <w:rPr>
          <w:rFonts w:ascii="Times New Roman" w:cs="Times New Roman" w:eastAsia="Times New Roman" w:hAnsi="Times New Roman"/>
          <w:sz w:val="19"/>
          <w:szCs w:val="19"/>
          <w:color w:val="auto"/>
        </w:rPr>
        <w:t>We have never declared or paid any dividends on shares of our common stock. We anticipate that we will retain all of our future earnings, if any, to fund the development and growth of our business. Any future determination</w:t>
      </w:r>
    </w:p>
    <w:p>
      <w:pPr>
        <w:spacing w:after="0" w:line="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9"/>
          <w:szCs w:val="19"/>
          <w:color w:val="auto"/>
        </w:rPr>
        <w:t>to pay dividends on our capital stock will be at the discretion of our board of directors (“Board”). It is the present intention of our Board to retain all earnings, if any, for use in our business operations and, accordingly, our Board does not anticipate declaring any dividends in the foreseeable future. Further, if we incur any indebtedness, our ability to declare dividends may be limited by restrictive covenants we may agree to in connection therewith.</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77" w:lineRule="exact"/>
        <w:rPr>
          <w:sz w:val="20"/>
          <w:szCs w:val="20"/>
          <w:color w:val="auto"/>
        </w:rPr>
      </w:pPr>
    </w:p>
    <w:p>
      <w:pPr>
        <w:ind w:right="300" w:firstLine="480"/>
        <w:spacing w:after="0" w:line="243" w:lineRule="auto"/>
        <w:rPr>
          <w:sz w:val="20"/>
          <w:szCs w:val="20"/>
          <w:color w:val="auto"/>
        </w:rPr>
      </w:pPr>
      <w:r>
        <w:rPr>
          <w:rFonts w:ascii="Times New Roman" w:cs="Times New Roman" w:eastAsia="Times New Roman" w:hAnsi="Times New Roman"/>
          <w:sz w:val="20"/>
          <w:szCs w:val="20"/>
          <w:color w:val="auto"/>
        </w:rPr>
        <w:t>We were a smaller reporting company, as defined by Rule 12b-2 of the Securities Exchange Act of 1934, as amended, as of December 31, 2025, and are not required to provide a performance graph.</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55" w:lineRule="exact"/>
        <w:rPr>
          <w:sz w:val="20"/>
          <w:szCs w:val="20"/>
          <w:color w:val="auto"/>
        </w:rPr>
      </w:pPr>
    </w:p>
    <w:p>
      <w:pPr>
        <w:ind w:left="960" w:right="80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7.</w:t>
        <w:tab/>
        <w:t>MANAGEMENT’S DISCUSSION AND ANALYSIS OF FINANCIAL CONDITION AND RESULTS OF OPERATIONS</w:t>
      </w:r>
    </w:p>
    <w:p>
      <w:pPr>
        <w:spacing w:after="0" w:line="176" w:lineRule="exact"/>
        <w:rPr>
          <w:sz w:val="20"/>
          <w:szCs w:val="20"/>
          <w:color w:val="auto"/>
        </w:rPr>
      </w:pPr>
    </w:p>
    <w:p>
      <w:pPr>
        <w:ind w:right="240" w:firstLine="48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You should read the following discussion and analysis of our financial condition and results of operations together with our consolidated financial statements and the related notes included </w:t>
      </w:r>
      <w:r>
        <w:rPr>
          <w:rFonts w:ascii="Times New Roman" w:cs="Times New Roman" w:eastAsia="Times New Roman" w:hAnsi="Times New Roman"/>
          <w:sz w:val="20"/>
          <w:szCs w:val="20"/>
          <w:color w:val="auto"/>
        </w:rPr>
        <w:t>in Part II, Item 8 of</w:t>
      </w:r>
      <w:r>
        <w:rPr>
          <w:rFonts w:ascii="Times New Roman" w:cs="Times New Roman" w:eastAsia="Times New Roman" w:hAnsi="Times New Roman"/>
          <w:sz w:val="20"/>
          <w:szCs w:val="20"/>
          <w:i w:val="1"/>
          <w:iCs w:val="1"/>
          <w:color w:val="auto"/>
        </w:rPr>
        <w:t xml:space="preserve"> this Annual Report on Form 10-K. This discussion and analysis and other parts of this Annual Report on Form 10-K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Part I, Item 1A, “Risk Factors” and elsewhere in this Annual Report on Form 10-K.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7" w:lineRule="exact"/>
        <w:rPr>
          <w:sz w:val="20"/>
          <w:szCs w:val="20"/>
          <w:color w:val="auto"/>
        </w:rPr>
      </w:pPr>
    </w:p>
    <w:p>
      <w:pPr>
        <w:ind w:right="140" w:firstLine="480"/>
        <w:spacing w:after="0" w:line="266" w:lineRule="auto"/>
        <w:rPr>
          <w:sz w:val="20"/>
          <w:szCs w:val="20"/>
          <w:color w:val="auto"/>
        </w:rPr>
      </w:pPr>
      <w:r>
        <w:rPr>
          <w:rFonts w:ascii="Times New Roman" w:cs="Times New Roman" w:eastAsia="Times New Roman" w:hAnsi="Times New Roman"/>
          <w:sz w:val="19"/>
          <w:szCs w:val="19"/>
          <w:color w:val="auto"/>
        </w:rPr>
        <w:t>We are a clinical-stage biotechnology company focused on developing therapeutics targeting mast cell driven diseases such as Chronic Spontaneous Urticaria (“CSU”), Chronic Inducible Urticaria (“CIndU”) and asthma. We may also consider additional indications in mast cell driven diseases for potential future development. We have also</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360"/>
          </w:cols>
          <w:pgMar w:left="1440" w:top="941" w:right="1440" w:bottom="348" w:gutter="0" w:footer="0" w:header="0"/>
          <w:type w:val="continuous"/>
        </w:sectPr>
      </w:pPr>
    </w:p>
    <w:bookmarkStart w:id="94" w:name="page95"/>
    <w:bookmarkEnd w:id="94"/>
    <w:p>
      <w:pPr>
        <w:jc w:val="both"/>
        <w:ind w:right="40"/>
        <w:spacing w:after="0" w:line="246" w:lineRule="auto"/>
        <w:rPr>
          <w:sz w:val="20"/>
          <w:szCs w:val="20"/>
          <w:color w:val="auto"/>
        </w:rPr>
      </w:pPr>
      <w:r>
        <w:rPr>
          <w:rFonts w:ascii="Times New Roman" w:cs="Times New Roman" w:eastAsia="Times New Roman" w:hAnsi="Times New Roman"/>
          <w:sz w:val="20"/>
          <w:szCs w:val="20"/>
          <w:color w:val="auto"/>
        </w:rPr>
        <w:t>historically explored development programs in diseases where targeting diseased hemopoietic stem cells can provide benefits, such as stem cell transplant conditioning regimens, but those programs have been discontinued and we are exclusively focused on mast cell driven diseases.</w:t>
      </w:r>
    </w:p>
    <w:p>
      <w:pPr>
        <w:spacing w:after="0" w:line="173"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Our lead product candidate, briquilimab, is a monoclonal antibody designed to block stem cell factor (“SCF”) from binding to and signaling through the CD117 (“KIT”) receptor on mast and stem cells. The SCF/KIT pathway is a survival signal for mast cells and we believe that blocking this pathway may lead to depletion of these cells throughout the body, including in the lungs and in the skin, which could lead to significant clinical benefit for patients with mast-cell driven diseases such as asthma and chronic urticarias. To that end, we are focusing on advancing a portfolio of clinical programs in mast cell driven diseases, highlights of which were as follows:</w:t>
      </w:r>
    </w:p>
    <w:p>
      <w:pPr>
        <w:spacing w:after="0" w:line="168" w:lineRule="exact"/>
        <w:rPr>
          <w:sz w:val="20"/>
          <w:szCs w:val="20"/>
          <w:color w:val="auto"/>
        </w:rPr>
      </w:pPr>
    </w:p>
    <w:p>
      <w:pPr>
        <w:ind w:left="960" w:right="20" w:hanging="480"/>
        <w:spacing w:after="0" w:line="248" w:lineRule="auto"/>
        <w:tabs>
          <w:tab w:leader="none" w:pos="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commenced the Phase 1b/2a BEACON study in CSU in late 2023 and in January 2025, we presented positive preliminary data from the first 8 dosing cohorts in the study (10mg, 40mg, 80mg Q8W, 120mg Q8W, 120mg Q12W, 180mg Q8W, 180mg Q12W, and 240mg single-dose). Average patient duration on study as of the cutoff date for the data presented was approximately 28 weeks. Highlights of the data were as follows:</w:t>
      </w:r>
    </w:p>
    <w:p>
      <w:pPr>
        <w:spacing w:after="0" w:line="171" w:lineRule="exact"/>
        <w:rPr>
          <w:rFonts w:ascii="Times New Roman" w:cs="Times New Roman" w:eastAsia="Times New Roman" w:hAnsi="Times New Roman"/>
          <w:sz w:val="20"/>
          <w:szCs w:val="20"/>
          <w:color w:val="auto"/>
        </w:rPr>
      </w:pPr>
    </w:p>
    <w:p>
      <w:pPr>
        <w:ind w:left="1440" w:right="40" w:hanging="480"/>
        <w:spacing w:after="0" w:line="243" w:lineRule="auto"/>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demonstrated a rapid onset of clinical efficacy with clinical responses seen as early as 1 week post-dose and complete responses observed as early as week 2 post-dose.</w:t>
      </w:r>
    </w:p>
    <w:p>
      <w:pPr>
        <w:spacing w:after="0" w:line="174" w:lineRule="exact"/>
        <w:rPr>
          <w:rFonts w:ascii="Times New Roman" w:cs="Times New Roman" w:eastAsia="Times New Roman" w:hAnsi="Times New Roman"/>
          <w:sz w:val="20"/>
          <w:szCs w:val="20"/>
          <w:color w:val="auto"/>
        </w:rPr>
      </w:pPr>
    </w:p>
    <w:p>
      <w:pPr>
        <w:ind w:left="1440" w:right="60" w:hanging="480"/>
        <w:spacing w:after="0" w:line="243" w:lineRule="auto"/>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drove deep and meaningful clinical responses with 100% complete responses through 8 weeks demonstrated at the 240mg dose level.</w:t>
      </w:r>
    </w:p>
    <w:p>
      <w:pPr>
        <w:spacing w:after="0" w:line="167"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was well-tolerated and demonstrated a favorable safety profile:</w:t>
      </w:r>
    </w:p>
    <w:p>
      <w:pPr>
        <w:spacing w:after="0" w:line="170"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KIT-related adverse events (“AEs”) were generally transient, low-grade events;</w:t>
      </w:r>
    </w:p>
    <w:p>
      <w:pPr>
        <w:spacing w:after="0" w:line="170" w:lineRule="exact"/>
        <w:rPr>
          <w:rFonts w:ascii="Times New Roman" w:cs="Times New Roman" w:eastAsia="Times New Roman" w:hAnsi="Times New Roman"/>
          <w:sz w:val="20"/>
          <w:szCs w:val="20"/>
          <w:color w:val="auto"/>
        </w:rPr>
      </w:pPr>
    </w:p>
    <w:p>
      <w:pPr>
        <w:ind w:left="1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The majority of AEs observed were resolved while on study prior to subsequent doses; and</w:t>
      </w:r>
    </w:p>
    <w:p>
      <w:pPr>
        <w:spacing w:after="0" w:line="176" w:lineRule="exact"/>
        <w:rPr>
          <w:rFonts w:ascii="Times New Roman" w:cs="Times New Roman" w:eastAsia="Times New Roman" w:hAnsi="Times New Roman"/>
          <w:sz w:val="20"/>
          <w:szCs w:val="20"/>
          <w:color w:val="auto"/>
        </w:rPr>
      </w:pPr>
    </w:p>
    <w:p>
      <w:pPr>
        <w:ind w:left="1920" w:right="120" w:hanging="48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dose delays, missed doses or discontinuations were reported due to AEs possibly related to KIT blockade.</w:t>
      </w:r>
    </w:p>
    <w:p>
      <w:pPr>
        <w:spacing w:after="0" w:line="174" w:lineRule="exact"/>
        <w:rPr>
          <w:rFonts w:ascii="Times New Roman" w:cs="Times New Roman" w:eastAsia="Times New Roman" w:hAnsi="Times New Roman"/>
          <w:sz w:val="20"/>
          <w:szCs w:val="20"/>
          <w:color w:val="auto"/>
        </w:rPr>
      </w:pPr>
    </w:p>
    <w:p>
      <w:pPr>
        <w:ind w:left="960" w:right="240" w:hanging="480"/>
        <w:spacing w:after="0" w:line="246" w:lineRule="auto"/>
        <w:tabs>
          <w:tab w:leader="none" w:pos="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2025, we reported updated data from the Phase 1b/2a BEACON study in CSU with updates on the 240mg and 360mg single dose cohorts as well as the 240mg Q8W and the 240mg/180mg Q8W cohorts. Highlights of the data update were as follows:</w:t>
      </w:r>
    </w:p>
    <w:p>
      <w:pPr>
        <w:spacing w:after="0" w:line="172" w:lineRule="exact"/>
        <w:rPr>
          <w:rFonts w:ascii="Times New Roman" w:cs="Times New Roman" w:eastAsia="Times New Roman" w:hAnsi="Times New Roman"/>
          <w:sz w:val="20"/>
          <w:szCs w:val="20"/>
          <w:color w:val="auto"/>
        </w:rPr>
      </w:pPr>
    </w:p>
    <w:p>
      <w:pPr>
        <w:ind w:left="1440" w:right="100" w:hanging="480"/>
        <w:spacing w:after="0" w:line="266" w:lineRule="auto"/>
        <w:tabs>
          <w:tab w:leader="none" w:pos="144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Briquilimab administration continued to demonstrate deep and rapid disease control in the 240mg and 360mg single-dose cohorts with 8 of 9 (89%) of participants enrolled across both cohorts achieving a complete response, and with 7 of 9 (78%) achieving a clinical response by week 2.</w:t>
      </w:r>
    </w:p>
    <w:p>
      <w:pPr>
        <w:spacing w:after="0" w:line="153" w:lineRule="exact"/>
        <w:rPr>
          <w:rFonts w:ascii="Times New Roman" w:cs="Times New Roman" w:eastAsia="Times New Roman" w:hAnsi="Times New Roman"/>
          <w:sz w:val="19"/>
          <w:szCs w:val="19"/>
          <w:color w:val="auto"/>
        </w:rPr>
      </w:pPr>
    </w:p>
    <w:p>
      <w:pPr>
        <w:ind w:left="1440" w:right="60" w:hanging="480"/>
        <w:spacing w:after="0" w:line="249" w:lineRule="auto"/>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from the 240mg Q8W and the 240mg/180mg Q8W dose cohorts demonstrated an atypical absence of UAS7 reduction in 11 of the 13 patients enrolled, and as a result, we launched an investigation into those two cohorts. Factors examined included clinical site conduct, site dosing procedures, patient selection criteria, as well as potential product lot variability in one lot of drug product first introduced into the BEACON study in those two cohorts. We also provided new clinical drug supply from a different lot for ongoing dosing of existing patients and subsequently enrolled an additional 10 patients in aggregate across those two cohorts.</w:t>
      </w:r>
    </w:p>
    <w:p>
      <w:pPr>
        <w:spacing w:after="0" w:line="169" w:lineRule="exact"/>
        <w:rPr>
          <w:rFonts w:ascii="Times New Roman" w:cs="Times New Roman" w:eastAsia="Times New Roman" w:hAnsi="Times New Roman"/>
          <w:sz w:val="20"/>
          <w:szCs w:val="20"/>
          <w:color w:val="auto"/>
        </w:rPr>
      </w:pPr>
    </w:p>
    <w:p>
      <w:pPr>
        <w:ind w:left="960" w:hanging="480"/>
        <w:spacing w:after="0" w:line="249" w:lineRule="auto"/>
        <w:tabs>
          <w:tab w:leader="none" w:pos="9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2025, we reported the completion of the investigation into the confounded efficacy results reported in July 2025 from the 240mg Q8W and the 240mg/180mg Q8W cohorts of the BEACON study in CSU. Based on the work conducted, we concluded the anomalous efficacy results in these two cohorts was not the result of any issues with the investigational product used, or from drug substance (“DS”) or drug product (“DP”) manufacturing or distribution processes, but rather appeared to be an issue resulting from patient selection process/criteria at certain clinical sites participating in the study. This conclusion reflects, among other factors:</w:t>
      </w:r>
    </w:p>
    <w:p>
      <w:pPr>
        <w:spacing w:after="0" w:line="163"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comprehensive review of manufacturing and distribution records;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robust testing of multiple lots across the manufacturing and clinical supply chain;</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independent, blinded testing of returned drug product samples from trial sites;</w:t>
      </w:r>
    </w:p>
    <w:p>
      <w:pPr>
        <w:sectPr>
          <w:pgSz w:w="12240" w:h="15840" w:orient="portrait"/>
          <w:cols w:equalWidth="0" w:num="1">
            <w:col w:w="9360"/>
          </w:cols>
          <w:pgMar w:left="1440" w:top="948" w:right="1440" w:bottom="348"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360"/>
          </w:cols>
          <w:pgMar w:left="1440" w:top="948" w:right="1440" w:bottom="348" w:gutter="0" w:footer="0" w:header="0"/>
          <w:type w:val="continuous"/>
        </w:sectPr>
      </w:pPr>
    </w:p>
    <w:bookmarkStart w:id="95" w:name="page96"/>
    <w:bookmarkEnd w:id="95"/>
    <w:p>
      <w:pPr>
        <w:ind w:left="1440" w:hanging="480"/>
        <w:spacing w:after="0"/>
        <w:tabs>
          <w:tab w:leader="none" w:pos="14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stability samples from the lots used in the two cohorts compared against other lots;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patient selection and enrollment processes;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investigational product handling and administration at the site level;</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drug delivery methods (for example, injection site, needle and injection media); and</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of additional patient- and site-level data.</w:t>
      </w:r>
    </w:p>
    <w:p>
      <w:pPr>
        <w:spacing w:after="0" w:line="177" w:lineRule="exact"/>
        <w:rPr>
          <w:sz w:val="20"/>
          <w:szCs w:val="20"/>
          <w:color w:val="auto"/>
        </w:rPr>
      </w:pPr>
    </w:p>
    <w:p>
      <w:pPr>
        <w:ind w:left="960" w:right="40"/>
        <w:spacing w:after="0" w:line="248" w:lineRule="auto"/>
        <w:rPr>
          <w:sz w:val="20"/>
          <w:szCs w:val="20"/>
          <w:color w:val="auto"/>
        </w:rPr>
      </w:pPr>
      <w:r>
        <w:rPr>
          <w:rFonts w:ascii="Times New Roman" w:cs="Times New Roman" w:eastAsia="Times New Roman" w:hAnsi="Times New Roman"/>
          <w:sz w:val="20"/>
          <w:szCs w:val="20"/>
          <w:color w:val="auto"/>
        </w:rPr>
        <w:t>The conclusions reached as a result of the investigation were supported by expert panels comprised of key opinion leaders in clinical development and antibody manufacturing experts that reviewed the findings and provided clinical operations and development recommendations on patient enrollment processes that are being integrated into the planned Phase 2b/3 CSU study to increase the likelihood that CSU patients enrolled in the study would be more likely to have mast cell driven disease.</w:t>
      </w:r>
    </w:p>
    <w:p>
      <w:pPr>
        <w:spacing w:after="0" w:line="172" w:lineRule="exact"/>
        <w:rPr>
          <w:sz w:val="20"/>
          <w:szCs w:val="20"/>
          <w:color w:val="auto"/>
        </w:rPr>
      </w:pPr>
    </w:p>
    <w:p>
      <w:pPr>
        <w:ind w:left="960" w:right="200" w:hanging="480"/>
        <w:spacing w:after="0" w:line="246" w:lineRule="auto"/>
        <w:tabs>
          <w:tab w:leader="none" w:pos="9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2026, we reported updated data from the Phase 1b/2a BEACON study in CSU with updates on an additional 8 patients enrolled in the 240mg/180mg Q8W cohort (6 on briquilimab and 2 on placebo). Highlights of the data update were as follows:</w:t>
      </w:r>
    </w:p>
    <w:p>
      <w:pPr>
        <w:spacing w:after="0" w:line="172" w:lineRule="exact"/>
        <w:rPr>
          <w:rFonts w:ascii="Times New Roman" w:cs="Times New Roman" w:eastAsia="Times New Roman" w:hAnsi="Times New Roman"/>
          <w:sz w:val="20"/>
          <w:szCs w:val="20"/>
          <w:color w:val="auto"/>
        </w:rPr>
      </w:pPr>
    </w:p>
    <w:p>
      <w:pPr>
        <w:ind w:left="960" w:right="300" w:hanging="480"/>
        <w:spacing w:after="0" w:line="243" w:lineRule="auto"/>
        <w:tabs>
          <w:tab w:leader="none" w:pos="9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demonstrated a rapid onset of clinical efficacy with clinical responses achieved by 5 of 6 participants (83%) by week 3;</w:t>
      </w:r>
    </w:p>
    <w:p>
      <w:pPr>
        <w:spacing w:after="0" w:line="174" w:lineRule="exact"/>
        <w:rPr>
          <w:rFonts w:ascii="Times New Roman" w:cs="Times New Roman" w:eastAsia="Times New Roman" w:hAnsi="Times New Roman"/>
          <w:sz w:val="20"/>
          <w:szCs w:val="20"/>
          <w:color w:val="auto"/>
        </w:rPr>
      </w:pPr>
    </w:p>
    <w:p>
      <w:pPr>
        <w:ind w:left="960" w:right="520" w:hanging="480"/>
        <w:spacing w:after="0" w:line="243" w:lineRule="auto"/>
        <w:tabs>
          <w:tab w:leader="none" w:pos="9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drove deep and meaningful clinical responses with UAS7 reductions of as much as 29 points noted, and 4 of 6 participants (67%) reporting a complete response at 12 weeks.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continued to be well-tolerated and demonstrated a favorable safety profile:</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KIT-related adverse events (“AEs”) were generally transient, low-grade events;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AEs observed were resolved while on study prior to subsequent doses; and</w:t>
      </w:r>
    </w:p>
    <w:p>
      <w:pPr>
        <w:spacing w:after="0" w:line="176" w:lineRule="exact"/>
        <w:rPr>
          <w:rFonts w:ascii="Times New Roman" w:cs="Times New Roman" w:eastAsia="Times New Roman" w:hAnsi="Times New Roman"/>
          <w:sz w:val="20"/>
          <w:szCs w:val="20"/>
          <w:color w:val="auto"/>
        </w:rPr>
      </w:pPr>
    </w:p>
    <w:p>
      <w:pPr>
        <w:ind w:left="1440" w:hanging="480"/>
        <w:spacing w:after="0" w:line="243" w:lineRule="auto"/>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dose delays, missed doses or discontinuations were reported due to AEs possibly related to KIT blockade.</w:t>
      </w:r>
    </w:p>
    <w:p>
      <w:pPr>
        <w:spacing w:after="0" w:line="174" w:lineRule="exact"/>
        <w:rPr>
          <w:rFonts w:ascii="Times New Roman" w:cs="Times New Roman" w:eastAsia="Times New Roman" w:hAnsi="Times New Roman"/>
          <w:sz w:val="20"/>
          <w:szCs w:val="20"/>
          <w:color w:val="auto"/>
        </w:rPr>
      </w:pPr>
    </w:p>
    <w:p>
      <w:pPr>
        <w:ind w:left="960" w:right="560" w:hanging="480"/>
        <w:spacing w:after="0" w:line="246" w:lineRule="auto"/>
        <w:tabs>
          <w:tab w:leader="none" w:pos="9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early 2024, we commenced the Phase 1b/2a SPOTLIGHT study in CIndU. In October 2024, we presented positive preliminary data on the 40mg and 120mg cohorts from the study showing the following for the 6-week preliminary analysis period following dosing, as follows:</w:t>
      </w:r>
    </w:p>
    <w:p>
      <w:pPr>
        <w:spacing w:after="0" w:line="172" w:lineRule="exact"/>
        <w:rPr>
          <w:rFonts w:ascii="Times New Roman" w:cs="Times New Roman" w:eastAsia="Times New Roman" w:hAnsi="Times New Roman"/>
          <w:sz w:val="20"/>
          <w:szCs w:val="20"/>
          <w:color w:val="auto"/>
        </w:rPr>
      </w:pPr>
    </w:p>
    <w:p>
      <w:pPr>
        <w:ind w:left="1440" w:right="80" w:hanging="480"/>
        <w:spacing w:after="0" w:line="243" w:lineRule="auto"/>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Across the 40mg and 120mg dosing cohorts in the study, 14 of the 15 participants (93%) achieved a clinical response;</w:t>
      </w:r>
    </w:p>
    <w:p>
      <w:pPr>
        <w:spacing w:after="0" w:line="174" w:lineRule="exact"/>
        <w:rPr>
          <w:rFonts w:ascii="Times New Roman" w:cs="Times New Roman" w:eastAsia="Times New Roman" w:hAnsi="Times New Roman"/>
          <w:sz w:val="20"/>
          <w:szCs w:val="20"/>
          <w:color w:val="auto"/>
        </w:rPr>
      </w:pPr>
    </w:p>
    <w:p>
      <w:pPr>
        <w:ind w:left="1440" w:right="340" w:hanging="480"/>
        <w:spacing w:after="0" w:line="243" w:lineRule="auto"/>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120mg dose cohort, 10 of 12 participants (83%) experienced a complete response, and 1 participant experienced a partial response; and</w:t>
      </w:r>
    </w:p>
    <w:p>
      <w:pPr>
        <w:spacing w:after="0" w:line="174" w:lineRule="exact"/>
        <w:rPr>
          <w:rFonts w:ascii="Times New Roman" w:cs="Times New Roman" w:eastAsia="Times New Roman" w:hAnsi="Times New Roman"/>
          <w:sz w:val="20"/>
          <w:szCs w:val="20"/>
          <w:color w:val="auto"/>
        </w:rPr>
      </w:pPr>
    </w:p>
    <w:p>
      <w:pPr>
        <w:ind w:left="1440" w:right="120" w:hanging="480"/>
        <w:spacing w:after="0" w:line="243" w:lineRule="auto"/>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was well-tolerated in the study, with KIT-related AEs being low-grade events, and no grade 3 or higher AEs possibly related to KIT blockade reported in any of the dose cohorts.</w:t>
      </w:r>
    </w:p>
    <w:p>
      <w:pPr>
        <w:spacing w:after="0" w:line="174" w:lineRule="exact"/>
        <w:rPr>
          <w:rFonts w:ascii="Times New Roman" w:cs="Times New Roman" w:eastAsia="Times New Roman" w:hAnsi="Times New Roman"/>
          <w:sz w:val="20"/>
          <w:szCs w:val="20"/>
          <w:color w:val="auto"/>
        </w:rPr>
      </w:pPr>
    </w:p>
    <w:p>
      <w:pPr>
        <w:ind w:left="960" w:right="180" w:hanging="480"/>
        <w:spacing w:after="0" w:line="246" w:lineRule="auto"/>
        <w:tabs>
          <w:tab w:leader="none" w:pos="9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late 2024, we added a 180mg single dose cohort to the SPOTLIGHT study in CIndU. In June 2025, we reported positive preliminary data from the 180mg single dose cohort, the highlights of which were as follows:</w:t>
      </w:r>
    </w:p>
    <w:p>
      <w:pPr>
        <w:spacing w:after="0" w:line="172" w:lineRule="exact"/>
        <w:rPr>
          <w:rFonts w:ascii="Times New Roman" w:cs="Times New Roman" w:eastAsia="Times New Roman" w:hAnsi="Times New Roman"/>
          <w:sz w:val="20"/>
          <w:szCs w:val="20"/>
          <w:color w:val="auto"/>
        </w:rPr>
      </w:pPr>
    </w:p>
    <w:p>
      <w:pPr>
        <w:ind w:left="1440" w:right="40" w:hanging="480"/>
        <w:spacing w:after="0" w:line="246" w:lineRule="auto"/>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treatment resulted in deep disease control at 180mg, with 12 of 12 participants (100%) enrolled in the cohort achieving a clinical response within the 8-week preliminary analysis period;</w:t>
      </w:r>
    </w:p>
    <w:p>
      <w:pPr>
        <w:spacing w:after="0" w:line="172" w:lineRule="exact"/>
        <w:rPr>
          <w:rFonts w:ascii="Times New Roman" w:cs="Times New Roman" w:eastAsia="Times New Roman" w:hAnsi="Times New Roman"/>
          <w:sz w:val="20"/>
          <w:szCs w:val="20"/>
          <w:color w:val="auto"/>
        </w:rPr>
      </w:pPr>
    </w:p>
    <w:p>
      <w:pPr>
        <w:ind w:left="1440" w:right="80" w:hanging="480"/>
        <w:spacing w:after="0" w:line="246" w:lineRule="auto"/>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observed was rapid and durable, with 8 of 12 participants (66%) achieving clinical response by week 2, and 7 of 12 participants (58%) maintaining clinical response through week 8; and</w:t>
      </w:r>
    </w:p>
    <w:p>
      <w:pPr>
        <w:spacing w:after="0" w:line="172" w:lineRule="exact"/>
        <w:rPr>
          <w:rFonts w:ascii="Times New Roman" w:cs="Times New Roman" w:eastAsia="Times New Roman" w:hAnsi="Times New Roman"/>
          <w:sz w:val="20"/>
          <w:szCs w:val="20"/>
          <w:color w:val="auto"/>
        </w:rPr>
      </w:pPr>
    </w:p>
    <w:p>
      <w:pPr>
        <w:ind w:left="1440" w:right="340" w:hanging="480"/>
        <w:spacing w:after="0" w:line="243" w:lineRule="auto"/>
        <w:tabs>
          <w:tab w:leader="none" w:pos="14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Briquilimab continued to be well tolerated in the study, with no SAEs and no grade 3 or higher AEs reported in the 180mg cohort.</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360"/>
          </w:cols>
          <w:pgMar w:left="1440" w:top="941" w:right="1440" w:bottom="348" w:gutter="0" w:footer="0" w:header="0"/>
          <w:type w:val="continuous"/>
        </w:sectPr>
      </w:pPr>
    </w:p>
    <w:bookmarkStart w:id="96" w:name="page97"/>
    <w:bookmarkEnd w:id="96"/>
    <w:p>
      <w:pPr>
        <w:ind w:left="960" w:right="80" w:hanging="480"/>
        <w:spacing w:after="0" w:line="248" w:lineRule="auto"/>
        <w:tabs>
          <w:tab w:leader="none" w:pos="9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commenced an Open Label Extension study (the “OLE”) in which patients in the BEACON study in CSU and the SPOTLIGHT study in CIndU are eligible to roll over to once they have completed their initial safety follow up period or experienced return of disease during the safety follow up period. All patients rolling over to the OLE study are treated with a 180mg Q8W dosing regimen. In January 2026, we reported preliminary data from the OLE study in both CSU and CIndU patients.</w:t>
      </w:r>
    </w:p>
    <w:p>
      <w:pPr>
        <w:spacing w:after="0" w:line="171" w:lineRule="exact"/>
        <w:rPr>
          <w:rFonts w:ascii="Times New Roman" w:cs="Times New Roman" w:eastAsia="Times New Roman" w:hAnsi="Times New Roman"/>
          <w:sz w:val="20"/>
          <w:szCs w:val="20"/>
          <w:color w:val="auto"/>
        </w:rPr>
      </w:pPr>
    </w:p>
    <w:p>
      <w:pPr>
        <w:ind w:left="960" w:right="16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Highlights of the clinical efficacy observed in CSU and CIndU participants for the OLE study released in January 2026 were as follows:</w:t>
      </w:r>
    </w:p>
    <w:p>
      <w:pPr>
        <w:spacing w:after="0" w:line="174" w:lineRule="exact"/>
        <w:rPr>
          <w:rFonts w:ascii="Times New Roman" w:cs="Times New Roman" w:eastAsia="Times New Roman" w:hAnsi="Times New Roman"/>
          <w:sz w:val="20"/>
          <w:szCs w:val="20"/>
          <w:color w:val="auto"/>
        </w:rPr>
      </w:pPr>
    </w:p>
    <w:p>
      <w:pPr>
        <w:ind w:left="1440" w:hanging="480"/>
        <w:spacing w:after="0" w:line="246" w:lineRule="auto"/>
        <w:tabs>
          <w:tab w:leader="none" w:pos="14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CSU participants, briquilimab treatment resulted in deep and durable disease control in the OLE study with 27 of 36 participants (75%) achieving complete response or well controlled disease at the week 12 assessment; and</w:t>
      </w:r>
    </w:p>
    <w:p>
      <w:pPr>
        <w:spacing w:after="0" w:line="172" w:lineRule="exact"/>
        <w:rPr>
          <w:rFonts w:ascii="Times New Roman" w:cs="Times New Roman" w:eastAsia="Times New Roman" w:hAnsi="Times New Roman"/>
          <w:sz w:val="20"/>
          <w:szCs w:val="20"/>
          <w:color w:val="auto"/>
        </w:rPr>
      </w:pPr>
    </w:p>
    <w:p>
      <w:pPr>
        <w:ind w:left="1440" w:right="140" w:hanging="480"/>
        <w:spacing w:after="0" w:line="246" w:lineRule="auto"/>
        <w:tabs>
          <w:tab w:leader="none" w:pos="14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CIndU participants, briquilimab treatment resulted in deep and durable disease control as well, with 11 of 17 participants (65%) achieving complete response or partial response at the week 16 assessment, which was 8 weeks following administration of the second dose.</w:t>
      </w:r>
    </w:p>
    <w:p>
      <w:pPr>
        <w:spacing w:after="0" w:line="173" w:lineRule="exact"/>
        <w:rPr>
          <w:sz w:val="20"/>
          <w:szCs w:val="20"/>
          <w:color w:val="auto"/>
        </w:rPr>
      </w:pPr>
    </w:p>
    <w:p>
      <w:pPr>
        <w:ind w:left="960" w:right="440"/>
        <w:spacing w:after="0" w:line="243" w:lineRule="auto"/>
        <w:rPr>
          <w:sz w:val="20"/>
          <w:szCs w:val="20"/>
          <w:color w:val="auto"/>
        </w:rPr>
      </w:pPr>
      <w:r>
        <w:rPr>
          <w:rFonts w:ascii="Times New Roman" w:cs="Times New Roman" w:eastAsia="Times New Roman" w:hAnsi="Times New Roman"/>
          <w:sz w:val="20"/>
          <w:szCs w:val="20"/>
          <w:color w:val="auto"/>
        </w:rPr>
        <w:t>Across both CSU and CIndU participants in the OLE study, briquilimab continued to demonstrate a favorable safety profile:</w:t>
      </w:r>
    </w:p>
    <w:p>
      <w:pPr>
        <w:spacing w:after="0" w:line="168" w:lineRule="exact"/>
        <w:rPr>
          <w:sz w:val="20"/>
          <w:szCs w:val="20"/>
          <w:color w:val="auto"/>
        </w:rPr>
      </w:pPr>
    </w:p>
    <w:p>
      <w:pPr>
        <w:ind w:left="1440" w:hanging="480"/>
        <w:spacing w:after="0"/>
        <w:tabs>
          <w:tab w:leader="none" w:pos="144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KIT-related AEs were generally transient, low-grade events;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AEs observed were resolved while on study prior to subsequent doses;</w:t>
      </w:r>
    </w:p>
    <w:p>
      <w:pPr>
        <w:spacing w:after="0" w:line="170" w:lineRule="exact"/>
        <w:rPr>
          <w:rFonts w:ascii="Times New Roman" w:cs="Times New Roman" w:eastAsia="Times New Roman" w:hAnsi="Times New Roman"/>
          <w:sz w:val="20"/>
          <w:szCs w:val="20"/>
          <w:color w:val="auto"/>
        </w:rPr>
      </w:pPr>
    </w:p>
    <w:p>
      <w:pPr>
        <w:ind w:left="1440" w:hanging="480"/>
        <w:spacing w:after="0"/>
        <w:tabs>
          <w:tab w:leader="none" w:pos="144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patient discontinued therapy due to taste disturbance potentially related to briquilimab; and</w:t>
      </w:r>
    </w:p>
    <w:p>
      <w:pPr>
        <w:spacing w:after="0" w:line="176" w:lineRule="exact"/>
        <w:rPr>
          <w:rFonts w:ascii="Times New Roman" w:cs="Times New Roman" w:eastAsia="Times New Roman" w:hAnsi="Times New Roman"/>
          <w:sz w:val="20"/>
          <w:szCs w:val="20"/>
          <w:color w:val="auto"/>
        </w:rPr>
      </w:pPr>
    </w:p>
    <w:p>
      <w:pPr>
        <w:ind w:left="1440" w:right="140" w:hanging="480"/>
        <w:spacing w:after="0" w:line="243" w:lineRule="auto"/>
        <w:tabs>
          <w:tab w:leader="none" w:pos="144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other dose delays, missed doses or discontinuations were reported due to AEs possibly related to KIT blockade.</w:t>
      </w:r>
    </w:p>
    <w:p>
      <w:pPr>
        <w:spacing w:after="0" w:line="174" w:lineRule="exact"/>
        <w:rPr>
          <w:rFonts w:ascii="Times New Roman" w:cs="Times New Roman" w:eastAsia="Times New Roman" w:hAnsi="Times New Roman"/>
          <w:sz w:val="20"/>
          <w:szCs w:val="20"/>
          <w:color w:val="auto"/>
        </w:rPr>
      </w:pPr>
    </w:p>
    <w:p>
      <w:pPr>
        <w:ind w:left="960" w:right="60" w:hanging="480"/>
        <w:spacing w:after="0" w:line="243" w:lineRule="auto"/>
        <w:tabs>
          <w:tab w:leader="none" w:pos="9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late 2024, we commenced a Phase 1b study in asthma, the “ETESIAN” study, which is a single dose double-blind, placebo-controlled challenge study seeking to demonstrate proof-of-concept in asthma utilizing a potential therapeutic dose to inform future trials in the broader asthma population. The study was conducted utilizing a single 180mg dose of subcutaneous briquilimab and key assessments included measuring improvements in Forced Expiratory Volume in 1 second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in both Early Asthmatic Response (“EAR”) measured at 6 weeks, and Late Asthmatic Response (“LAR”) measured at 12 weeks, changes in airway hyperresponsiveness, mast cell depletion and recovery, and safety.</w:t>
      </w:r>
    </w:p>
    <w:p>
      <w:pPr>
        <w:spacing w:after="0" w:line="175" w:lineRule="exact"/>
        <w:rPr>
          <w:rFonts w:ascii="Times New Roman" w:cs="Times New Roman" w:eastAsia="Times New Roman" w:hAnsi="Times New Roman"/>
          <w:sz w:val="20"/>
          <w:szCs w:val="20"/>
          <w:color w:val="auto"/>
        </w:rPr>
      </w:pPr>
    </w:p>
    <w:p>
      <w:pPr>
        <w:ind w:left="960" w:right="180" w:hanging="480"/>
        <w:spacing w:after="0" w:line="248" w:lineRule="auto"/>
        <w:tabs>
          <w:tab w:leader="none" w:pos="9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2025, we reported preliminary results from the ETESIAN study in 14 participants (7 receiving a single dose of 180mg briquilimab and 7 receiving placebo) who completed at least 7 weeks of allergen challenge testing following dosing with investigational product. Highlights of the clinical response observed in ETESIAN participants reported in December 2025 were as follows:</w:t>
      </w:r>
    </w:p>
    <w:p>
      <w:pPr>
        <w:spacing w:after="0" w:line="169" w:lineRule="exact"/>
        <w:rPr>
          <w:rFonts w:ascii="Times New Roman" w:cs="Times New Roman" w:eastAsia="Times New Roman" w:hAnsi="Times New Roman"/>
          <w:sz w:val="20"/>
          <w:szCs w:val="20"/>
          <w:color w:val="auto"/>
        </w:rPr>
      </w:pPr>
    </w:p>
    <w:p>
      <w:pPr>
        <w:ind w:left="1440" w:right="320" w:hanging="480"/>
        <w:spacing w:after="0" w:line="235" w:lineRule="auto"/>
        <w:tabs>
          <w:tab w:leader="none" w:pos="144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to baseline, briquilimab reduced the allergen induced LAR (measured by the mean maximum percentage fall in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(%Max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and fall in area under the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time response curve (“AUC”)) at both 6 and 12 weeks. Patients who received briquilimab showed an improvement in the LAR %Max FEV</w:t>
      </w:r>
      <w:r>
        <w:rPr>
          <w:rFonts w:ascii="Times New Roman" w:cs="Times New Roman" w:eastAsia="Times New Roman" w:hAnsi="Times New Roman"/>
          <w:sz w:val="23"/>
          <w:szCs w:val="23"/>
          <w:color w:val="auto"/>
          <w:vertAlign w:val="subscript"/>
        </w:rPr>
        <w:t>1</w:t>
      </w:r>
      <w:r>
        <w:rPr>
          <w:rFonts w:ascii="Times New Roman" w:cs="Times New Roman" w:eastAsia="Times New Roman" w:hAnsi="Times New Roman"/>
          <w:sz w:val="20"/>
          <w:szCs w:val="20"/>
          <w:color w:val="auto"/>
        </w:rPr>
        <w:t xml:space="preserve"> of 10.4% at 6 weeks and 8.7% at 12 weeks compared to baseline, as well as demonstrating an improvement in the LAR AUC of 25.4% at 6 weeks and 23.3% at 12 weeks.</w:t>
      </w:r>
    </w:p>
    <w:p>
      <w:pPr>
        <w:spacing w:after="0" w:line="181" w:lineRule="exact"/>
        <w:rPr>
          <w:rFonts w:ascii="Times New Roman" w:cs="Times New Roman" w:eastAsia="Times New Roman" w:hAnsi="Times New Roman"/>
          <w:sz w:val="20"/>
          <w:szCs w:val="20"/>
          <w:color w:val="auto"/>
        </w:rPr>
      </w:pPr>
    </w:p>
    <w:p>
      <w:pPr>
        <w:ind w:left="1440" w:right="80" w:hanging="480"/>
        <w:spacing w:after="0" w:line="248" w:lineRule="auto"/>
        <w:tabs>
          <w:tab w:leader="none" w:pos="144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Sputum eosinophils, a potential marker of inflammatory response, were also measured at various timepoints in conjunction with observing the EAR and LAR. Participants receiving briquilimab demonstrated notably lower eosinophil levels as compared to those receiving placebo, indicating a reduction in the inflammatory response to their allergen.</w:t>
      </w:r>
    </w:p>
    <w:p>
      <w:pPr>
        <w:spacing w:after="0" w:line="169" w:lineRule="exact"/>
        <w:rPr>
          <w:sz w:val="20"/>
          <w:szCs w:val="20"/>
          <w:color w:val="auto"/>
        </w:rPr>
      </w:pPr>
    </w:p>
    <w:p>
      <w:pPr>
        <w:ind w:right="560" w:firstLine="480"/>
        <w:spacing w:after="0" w:line="246" w:lineRule="auto"/>
        <w:rPr>
          <w:sz w:val="20"/>
          <w:szCs w:val="20"/>
          <w:color w:val="auto"/>
        </w:rPr>
      </w:pPr>
      <w:r>
        <w:rPr>
          <w:rFonts w:ascii="Times New Roman" w:cs="Times New Roman" w:eastAsia="Times New Roman" w:hAnsi="Times New Roman"/>
          <w:sz w:val="20"/>
          <w:szCs w:val="20"/>
          <w:color w:val="auto"/>
        </w:rPr>
        <w:t>The positive proof of concept data generated in the ETESIAN study supports further development in the broader asthma population, however, advancing any future clinical studies in asthma would be based on an evaluation of the competitive landscape, the potential for strategic partnerships and capital availability.</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360"/>
          </w:cols>
          <w:pgMar w:left="1440" w:top="948" w:right="1440" w:bottom="348" w:gutter="0" w:footer="0" w:header="0"/>
          <w:type w:val="continuous"/>
        </w:sectPr>
      </w:pPr>
    </w:p>
    <w:bookmarkStart w:id="97" w:name="page98"/>
    <w:bookmarkEnd w:id="97"/>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Historically, we have also evaluated briquilimab as a one-time conditioning therapy for severe combined immunodeficiency (“SCID”) patients undergoing a second stem cell transplant for which we conducted a Phase 1/2 clinical trial as well as via Investigator Sponsored Trials (“ISTs”) in several other stem cell transplant indications. In July 2025, the SCID program and any remaining ISTs were discontinued to focus resources exclusively on our mast cell disease development portfolio.</w:t>
      </w:r>
    </w:p>
    <w:p>
      <w:pPr>
        <w:spacing w:after="0" w:line="17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We intend to become a fully integrated discovery, development and commercial company in the field of mast cell therapeutics. We are developing our product candidates to be used individually or, in some cases, in combination with other therapeutics. Our goal is to advance our product candidates through regulatory approval and bring them to the commercial market based on the data from our clinical trials and communications with regulatory agencies and payor communities. We expect to continue to broaden our pipeline with additional mast cell indications and next-generation products by leveraging our research organization.</w:t>
      </w:r>
    </w:p>
    <w:p>
      <w:pPr>
        <w:spacing w:after="0" w:line="168" w:lineRule="exact"/>
        <w:rPr>
          <w:sz w:val="20"/>
          <w:szCs w:val="20"/>
          <w:color w:val="auto"/>
        </w:rPr>
      </w:pPr>
    </w:p>
    <w:p>
      <w:pPr>
        <w:ind w:right="40" w:firstLine="480"/>
        <w:spacing w:after="0" w:line="248" w:lineRule="auto"/>
        <w:rPr>
          <w:sz w:val="20"/>
          <w:szCs w:val="20"/>
          <w:color w:val="auto"/>
        </w:rPr>
      </w:pPr>
      <w:r>
        <w:rPr>
          <w:rFonts w:ascii="Times New Roman" w:cs="Times New Roman" w:eastAsia="Times New Roman" w:hAnsi="Times New Roman"/>
          <w:sz w:val="20"/>
          <w:szCs w:val="20"/>
          <w:color w:val="auto"/>
        </w:rPr>
        <w:t>We have an exclusive license agreement with Amgen Inc. (“Amgen”) for the development and commercialization of the briquilimab monoclonal antibody in all indications and territories worldwide. We also have an exclusive license agreement with Stanford University for the right to use briquilimab in the clearance of diseased stem cells prior to the transplantation of hematopoietic stem cells.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177" w:lineRule="exact"/>
        <w:rPr>
          <w:sz w:val="20"/>
          <w:szCs w:val="20"/>
          <w:color w:val="auto"/>
        </w:rPr>
      </w:pPr>
    </w:p>
    <w:p>
      <w:pPr>
        <w:ind w:right="40" w:firstLine="480"/>
        <w:spacing w:after="0" w:line="263" w:lineRule="auto"/>
        <w:rPr>
          <w:sz w:val="20"/>
          <w:szCs w:val="20"/>
          <w:color w:val="auto"/>
        </w:rPr>
      </w:pPr>
      <w:r>
        <w:rPr>
          <w:rFonts w:ascii="Times New Roman" w:cs="Times New Roman" w:eastAsia="Times New Roman" w:hAnsi="Times New Roman"/>
          <w:sz w:val="19"/>
          <w:szCs w:val="19"/>
          <w:color w:val="auto"/>
        </w:rPr>
        <w:t>On July 8, 2025, we implemented a corporate reorganization to extend our cash runway, including a workforce reduction of approximately 50% of our workforce, representing 22 employees. The reorganization was substantially completed during the third quarter of 2025. In connection with this corporate reorganization, we refined our operating plan to focus on our briquilimab clinical development programs in chronic urticaria, halted enrollment</w:t>
      </w:r>
    </w:p>
    <w:p>
      <w:pPr>
        <w:spacing w:after="0" w:line="2"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in our Phase 1b ETESIAN study in asthma, and ended our other clinical and preclinical programs. The total cost related to the workforce reduction was approximately $2.3 million, all of which represented cash-based expenditure related primarily to severance payments. For the year ended December 31, 2025, we recorded restructuring charges of $1.8 million and $0.5 million as research and development expenses and general and administrative expenses, respectively, in our consolidated statements of operations and comprehensive loss.</w:t>
      </w:r>
    </w:p>
    <w:p>
      <w:pPr>
        <w:spacing w:after="0" w:line="172" w:lineRule="exact"/>
        <w:rPr>
          <w:sz w:val="20"/>
          <w:szCs w:val="20"/>
          <w:color w:val="auto"/>
        </w:rPr>
      </w:pPr>
    </w:p>
    <w:p>
      <w:pPr>
        <w:ind w:right="780" w:firstLine="480"/>
        <w:spacing w:after="0" w:line="248" w:lineRule="auto"/>
        <w:rPr>
          <w:sz w:val="20"/>
          <w:szCs w:val="20"/>
          <w:color w:val="auto"/>
        </w:rPr>
      </w:pPr>
      <w:r>
        <w:rPr>
          <w:rFonts w:ascii="Times New Roman" w:cs="Times New Roman" w:eastAsia="Times New Roman" w:hAnsi="Times New Roman"/>
          <w:sz w:val="20"/>
          <w:szCs w:val="20"/>
          <w:color w:val="auto"/>
        </w:rPr>
        <w:t>On September 18, 2025, we entered into an underwriting agreement with TD Securities (USA) LLC as the representative of the several underwriters named therein, relating to an underwritten public offering. On September 22, 2025, we closed the offering and issued an aggregate of 11,670,707 shares of common stock, pre-funded warrants to purchase 675,000 shares of common stock and common warrants to purchase 12,345,707 shares of common stock for net proceeds of $27.5 million.</w:t>
      </w:r>
    </w:p>
    <w:p>
      <w:pPr>
        <w:spacing w:after="0" w:line="172" w:lineRule="exact"/>
        <w:rPr>
          <w:sz w:val="20"/>
          <w:szCs w:val="20"/>
          <w:color w:val="auto"/>
        </w:rPr>
      </w:pPr>
    </w:p>
    <w:p>
      <w:pPr>
        <w:ind w:right="20" w:firstLine="480"/>
        <w:spacing w:after="0" w:line="266" w:lineRule="auto"/>
        <w:rPr>
          <w:sz w:val="20"/>
          <w:szCs w:val="20"/>
          <w:color w:val="auto"/>
        </w:rPr>
      </w:pPr>
      <w:r>
        <w:rPr>
          <w:rFonts w:ascii="Times New Roman" w:cs="Times New Roman" w:eastAsia="Times New Roman" w:hAnsi="Times New Roman"/>
          <w:sz w:val="19"/>
          <w:szCs w:val="19"/>
          <w:color w:val="auto"/>
        </w:rPr>
        <w:t>In December 2025, our board of directors approved a plan to cease operations of our vivarium and to terminate three of the four remaining research personnel associated with those operations. As a result of this decision, we recognized an impairment loss of $1.1 million for certain fixed assets and the right of use asset that were abandoned.</w:t>
      </w:r>
    </w:p>
    <w:p>
      <w:pPr>
        <w:spacing w:after="0" w:line="1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have incurred significant losses and negative cash flows from operations since our inception. During</w:t>
      </w:r>
    </w:p>
    <w:p>
      <w:pPr>
        <w:spacing w:after="0" w:line="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the years ended December 31, 2025 and 2024 we incurred net losses of $75.8 million and $71.3 million, respectively. We generated negative operating cash flows of $77.2 million and $62.6 million for the years ended December 31, 2025 and 2024, respectively. As of December 31, 2025, we had an accumulated deficit of $316.7 million.</w:t>
      </w:r>
    </w:p>
    <w:p>
      <w:pPr>
        <w:spacing w:after="0" w:line="154" w:lineRule="exact"/>
        <w:rPr>
          <w:sz w:val="20"/>
          <w:szCs w:val="20"/>
          <w:color w:val="auto"/>
        </w:rPr>
      </w:pPr>
    </w:p>
    <w:p>
      <w:pPr>
        <w:ind w:right="100" w:firstLine="480"/>
        <w:spacing w:after="0" w:line="263" w:lineRule="auto"/>
        <w:rPr>
          <w:sz w:val="20"/>
          <w:szCs w:val="20"/>
          <w:color w:val="auto"/>
        </w:rPr>
      </w:pPr>
      <w:r>
        <w:rPr>
          <w:rFonts w:ascii="Times New Roman" w:cs="Times New Roman" w:eastAsia="Times New Roman" w:hAnsi="Times New Roman"/>
          <w:sz w:val="19"/>
          <w:szCs w:val="19"/>
          <w:color w:val="auto"/>
        </w:rPr>
        <w:t>We had cash and cash equivalents of $28.7 million as of December 31, 2025.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 Accordingly, based on our current operating plan, and along with our history of operating losses, our current cash and cash equivalents will not be sufficient to fund our ongoing operations for a period</w:t>
      </w:r>
    </w:p>
    <w:p>
      <w:pPr>
        <w:spacing w:after="0" w:line="5" w:lineRule="exact"/>
        <w:rPr>
          <w:sz w:val="20"/>
          <w:szCs w:val="20"/>
          <w:color w:val="auto"/>
        </w:rPr>
      </w:pPr>
    </w:p>
    <w:p>
      <w:pPr>
        <w:ind w:right="480"/>
        <w:spacing w:after="0" w:line="243" w:lineRule="auto"/>
        <w:rPr>
          <w:sz w:val="20"/>
          <w:szCs w:val="20"/>
          <w:color w:val="auto"/>
        </w:rPr>
      </w:pPr>
      <w:r>
        <w:rPr>
          <w:rFonts w:ascii="Times New Roman" w:cs="Times New Roman" w:eastAsia="Times New Roman" w:hAnsi="Times New Roman"/>
          <w:sz w:val="20"/>
          <w:szCs w:val="20"/>
          <w:color w:val="auto"/>
        </w:rPr>
        <w:t>of at least twelve months from the date the consolidated financial statements included in this Annual Report on Form 10-K are issued.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360"/>
          </w:cols>
          <w:pgMar w:left="1440" w:top="948" w:right="1440" w:bottom="348" w:gutter="0" w:footer="0" w:header="0"/>
          <w:type w:val="continuous"/>
        </w:sectPr>
      </w:pPr>
    </w:p>
    <w:bookmarkStart w:id="98" w:name="page99"/>
    <w:bookmarkEnd w:id="98"/>
    <w:p>
      <w:pPr>
        <w:ind w:right="280" w:firstLine="480"/>
        <w:spacing w:after="0" w:line="249" w:lineRule="auto"/>
        <w:rPr>
          <w:sz w:val="20"/>
          <w:szCs w:val="20"/>
          <w:color w:val="auto"/>
        </w:rPr>
      </w:pPr>
      <w:r>
        <w:rPr>
          <w:rFonts w:ascii="Times New Roman" w:cs="Times New Roman" w:eastAsia="Times New Roman" w:hAnsi="Times New Roman"/>
          <w:sz w:val="20"/>
          <w:szCs w:val="20"/>
          <w:color w:val="auto"/>
        </w:rPr>
        <w:t>Our management plans to monitor expenses and raise additional capital through a combination of public and private equity, debt financings, strategic alliances or licensing arrangements. Our ability to access capital when needed is not assured and, if capital is not available to us when, and in the amounts, needed,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harm our business, financial condition and results of operations.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expect our expenses will increase substantially in connection with our ongoing and planned activities, 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w:t>
      </w:r>
    </w:p>
    <w:p>
      <w:pPr>
        <w:spacing w:after="0" w:line="170" w:lineRule="exact"/>
        <w:rPr>
          <w:sz w:val="20"/>
          <w:szCs w:val="20"/>
          <w:color w:val="auto"/>
        </w:rPr>
      </w:pPr>
    </w:p>
    <w:p>
      <w:pPr>
        <w:ind w:left="960" w:hanging="480"/>
        <w:spacing w:after="0"/>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product candidates through preclinical studies and clinical trials;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procure the manufacture of supplies for our preclinical studies and clinical trials;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validate, and develop additional product candidates;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hire and retain additional personnel;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as a public company;</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implement operational, financial and management systems;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pursue regulatory approval for any product candidates that successfully complete clinical trials;</w:t>
      </w:r>
    </w:p>
    <w:p>
      <w:pPr>
        <w:spacing w:after="0" w:line="176" w:lineRule="exact"/>
        <w:rPr>
          <w:rFonts w:ascii="Times New Roman" w:cs="Times New Roman" w:eastAsia="Times New Roman" w:hAnsi="Times New Roman"/>
          <w:sz w:val="20"/>
          <w:szCs w:val="20"/>
          <w:color w:val="auto"/>
        </w:rPr>
      </w:pPr>
    </w:p>
    <w:p>
      <w:pPr>
        <w:ind w:left="960" w:right="200" w:hanging="480"/>
        <w:spacing w:after="0" w:line="243" w:lineRule="auto"/>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and distribution infrastructure to commercialize any product candidate for which we may obtain marketing approval and related commercial manufacturing build-out; and</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maintain, expand, and protect our portfolio of intellectual property rights.</w:t>
      </w:r>
    </w:p>
    <w:p>
      <w:pPr>
        <w:spacing w:after="0" w:line="177"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9"/>
          <w:szCs w:val="19"/>
          <w:color w:val="auto"/>
        </w:rPr>
        <w:t>We do not currently own or operate any manufacturing facility. We rely on contract manufacturing organizations (“CMOs”) to produce our drug candidates in accordance with the FDA’s current good manufacturing practices (“cGMP”) regulations for use in our clinical trials. The manufacture of pharmaceuticals is subject to extensive cGMP regulations, which impose various procedural and documentation requirements and govern all areas of record keeping, production processes and controls, personnel and quality control. Under our license agreement with Amgen, we have received a substantial amount of drug product to support initiation of our planned clinical trials of briquilimab. In November 2019, we entered into development and manufacturing agreements with Lonza Sales AG (“Lonza”) relating to the manufacturing of briquilimab and product quality testing. The facility of Lonza in Slough, United Kingdom is responsible for production and testing of drug substance. The facility of Lonza in Stein, Switzerland is responsible for production and testing of drug product. Labelling, packaging and storage of finished drug product is provided by PCI Pharma Services, in San Diego, California. Our agreement with Lonza includes certain limitations on our ability to enter into supply arrangements with any other supplier without Lonza’s consent. In addition, Lonza has the right to increase the prices it charges us for certain supplies depending on a number of factors, some of which are outside of our control. In addition, given drug substance and drug product manufacturing and testing with Lonza currently occurs outside the United States, drug product imported into the United States for clinical or commercial use could be subject to significant tariffs in the current political environment.</w:t>
      </w:r>
    </w:p>
    <w:p>
      <w:pPr>
        <w:spacing w:after="0" w:line="395"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We do not currently have sales and marketing infrastructure to support commercial launch of our product candidates, if approved. We may build such capabilities in North America prior to potential launch of briquilimab. Outside of North America, we may rely on licensing, co-sale and co-promotion agreements with strategic partners for the commercialization of our product candidates. If we build a commercial infrastructure to support marketing in North America, such commercial infrastructure could be expected to include a targeted sales force supported by sales management, internal sales support, an internal marketing group and distribution support. To develop the appropriate commercial infrastructure internally, we would have to invest financial and management resources, some of which would have to be deployed prior to any confirmation that briquilimab will be approved.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360"/>
          </w:cols>
          <w:pgMar w:left="1440" w:top="948" w:right="1440" w:bottom="348" w:gutter="0" w:footer="0" w:header="0"/>
          <w:type w:val="continuous"/>
        </w:sectPr>
      </w:pPr>
    </w:p>
    <w:bookmarkStart w:id="99" w:name="page100"/>
    <w:bookmarkEnd w:id="99"/>
    <w:p>
      <w:pPr>
        <w:ind w:firstLine="480"/>
        <w:spacing w:after="0" w:line="248"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product development, we are unable to predict the timing or amount of increased expenses or when or if we will be able to achieve or maintain profitability. Even if we are able to generate revenue from the sale of our product candidates, we may not become profitable. If we fail to become profitable or are unable to sustain profitability on a continuing basis, then we may be unable to continue our operations at planned levels and may be forced to reduce our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The largest component of our total operating expenses since our inception has been research and development activities, including the preclinical and clinical development of our product candidates. Research and development expenses consist primarily of compensation and benefits for research and development employees, including stock-based compensation; expenses incurred under agreements with contract research organizations (“CROs”) and investigative sites that conduct preclinical studies and clinical trials; the costs of acquiring and manufacturing clinical trial materials and other supplies; payments under licensing and research and development agreements; other outside services and consulting costs; and facilities, information technology and overhead expenses. Research and development costs are expensed as incurred.</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Research and development costs include:</w:t>
      </w:r>
    </w:p>
    <w:p>
      <w:pPr>
        <w:spacing w:after="0" w:line="177" w:lineRule="exact"/>
        <w:rPr>
          <w:sz w:val="20"/>
          <w:szCs w:val="20"/>
          <w:color w:val="auto"/>
        </w:rPr>
      </w:pPr>
    </w:p>
    <w:p>
      <w:pPr>
        <w:ind w:left="960" w:right="60" w:hanging="480"/>
        <w:spacing w:after="0" w:line="243" w:lineRule="auto"/>
        <w:tabs>
          <w:tab w:leader="none" w:pos="9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program costs, including costs incurred under agreements with third-party CROs, CMOs and other third parties;</w:t>
      </w:r>
    </w:p>
    <w:p>
      <w:pPr>
        <w:spacing w:after="0" w:line="174" w:lineRule="exact"/>
        <w:rPr>
          <w:rFonts w:ascii="Times New Roman" w:cs="Times New Roman" w:eastAsia="Times New Roman" w:hAnsi="Times New Roman"/>
          <w:sz w:val="20"/>
          <w:szCs w:val="20"/>
          <w:color w:val="auto"/>
        </w:rPr>
      </w:pPr>
    </w:p>
    <w:p>
      <w:pPr>
        <w:ind w:left="960" w:right="540" w:hanging="480"/>
        <w:spacing w:after="0" w:line="243" w:lineRule="auto"/>
        <w:tabs>
          <w:tab w:leader="none" w:pos="9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employee-related costs, including salaries, benefits and stock-based compensation expense for our research and development personnel; and</w:t>
      </w:r>
    </w:p>
    <w:p>
      <w:pPr>
        <w:spacing w:after="0" w:line="174" w:lineRule="exact"/>
        <w:rPr>
          <w:rFonts w:ascii="Times New Roman" w:cs="Times New Roman" w:eastAsia="Times New Roman" w:hAnsi="Times New Roman"/>
          <w:sz w:val="20"/>
          <w:szCs w:val="20"/>
          <w:color w:val="auto"/>
        </w:rPr>
      </w:pPr>
    </w:p>
    <w:p>
      <w:pPr>
        <w:ind w:left="960" w:right="560" w:hanging="480"/>
        <w:spacing w:after="0" w:line="243" w:lineRule="auto"/>
        <w:tabs>
          <w:tab w:leader="none" w:pos="9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expenses and allocated overheads incurred in connection with our research and development programs.</w:t>
      </w:r>
    </w:p>
    <w:p>
      <w:pPr>
        <w:spacing w:after="0" w:line="174" w:lineRule="exact"/>
        <w:rPr>
          <w:sz w:val="20"/>
          <w:szCs w:val="20"/>
          <w:color w:val="auto"/>
        </w:rPr>
      </w:pPr>
    </w:p>
    <w:p>
      <w:pPr>
        <w:jc w:val="both"/>
        <w:ind w:right="200" w:firstLine="480"/>
        <w:spacing w:after="0" w:line="263" w:lineRule="auto"/>
        <w:rPr>
          <w:sz w:val="20"/>
          <w:szCs w:val="20"/>
          <w:color w:val="auto"/>
        </w:rPr>
      </w:pPr>
      <w:r>
        <w:rPr>
          <w:rFonts w:ascii="Times New Roman" w:cs="Times New Roman" w:eastAsia="Times New Roman" w:hAnsi="Times New Roman"/>
          <w:sz w:val="19"/>
          <w:szCs w:val="19"/>
          <w:color w:val="auto"/>
        </w:rPr>
        <w:t>We expect our research and development expenses to increase substantially for the foreseeable future as we advance our product candidates into and through preclinical studies and clinical trials, pursue regulatory approval of our product candidates and expand our pipeline of product candidates. The process of conducting the necessary preclinical and clinical research to obtain regulatory approval is costly and time-consuming. The actual probability of success for our product candidates may be affected by a variety of factors, including the safety and efficacy</w:t>
      </w:r>
    </w:p>
    <w:p>
      <w:pPr>
        <w:spacing w:after="0" w:line="3"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of our product candidates, early clinical data, investment in our clinical programs,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if, when and to what extent we will generate revenue from the commercialization and sale of our product candidates, if approved.</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future research and development costs may vary significantly based on factors, such as:</w:t>
      </w:r>
    </w:p>
    <w:p>
      <w:pPr>
        <w:spacing w:after="0" w:line="170" w:lineRule="exact"/>
        <w:rPr>
          <w:sz w:val="20"/>
          <w:szCs w:val="20"/>
          <w:color w:val="auto"/>
        </w:rPr>
      </w:pPr>
    </w:p>
    <w:p>
      <w:pPr>
        <w:ind w:left="960" w:hanging="480"/>
        <w:spacing w:after="0"/>
        <w:tabs>
          <w:tab w:leader="none" w:pos="9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rate of progress, expense and results of our discovery and preclinical development activities;</w:t>
      </w:r>
    </w:p>
    <w:p>
      <w:pPr>
        <w:spacing w:after="0" w:line="176" w:lineRule="exact"/>
        <w:rPr>
          <w:rFonts w:ascii="Times New Roman" w:cs="Times New Roman" w:eastAsia="Times New Roman" w:hAnsi="Times New Roman"/>
          <w:sz w:val="20"/>
          <w:szCs w:val="20"/>
          <w:color w:val="auto"/>
        </w:rPr>
      </w:pPr>
    </w:p>
    <w:p>
      <w:pPr>
        <w:ind w:left="960" w:right="740" w:hanging="480"/>
        <w:spacing w:after="0" w:line="243" w:lineRule="auto"/>
        <w:tabs>
          <w:tab w:leader="none" w:pos="9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timing of our chemistry, manufacturing and controls activities, including fulfilling cGMP-related standards and compliance, and identifying and qualifying suppliers;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 patient clinical trial costs;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trials required for approval;</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sites included in our clinical trials;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countries in which the trials are conducted;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360"/>
          </w:cols>
          <w:pgMar w:left="1440" w:top="948" w:right="1440" w:bottom="348" w:gutter="0" w:footer="0" w:header="0"/>
          <w:type w:val="continuous"/>
        </w:sectPr>
      </w:pPr>
    </w:p>
    <w:bookmarkStart w:id="100" w:name="page101"/>
    <w:bookmarkEnd w:id="100"/>
    <w:p>
      <w:pPr>
        <w:ind w:left="960" w:right="360" w:hanging="480"/>
        <w:spacing w:after="0" w:line="243" w:lineRule="auto"/>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adding a sufficient number of trial sites and recruiting suitable patients to participate in our clinical trials;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that participate in the trials;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doses that patients receive;</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drop-out or discontinuation rates;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additional safety monitoring requested by regulatory agencies;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duration of patient participation in the trials and follow up;</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manufacturing our product candidates;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phase of development of our product candidates;</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safety profile of our product candidates;</w:t>
      </w:r>
    </w:p>
    <w:p>
      <w:pPr>
        <w:spacing w:after="0" w:line="176" w:lineRule="exact"/>
        <w:rPr>
          <w:rFonts w:ascii="Times New Roman" w:cs="Times New Roman" w:eastAsia="Times New Roman" w:hAnsi="Times New Roman"/>
          <w:sz w:val="20"/>
          <w:szCs w:val="20"/>
          <w:color w:val="auto"/>
        </w:rPr>
      </w:pPr>
    </w:p>
    <w:p>
      <w:pPr>
        <w:ind w:left="960" w:right="20" w:hanging="480"/>
        <w:spacing w:after="0" w:line="243" w:lineRule="auto"/>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receipt, and terms of any approvals from applicable regulatory authorities, including the FDA and non-U.S. regulators;</w:t>
      </w:r>
    </w:p>
    <w:p>
      <w:pPr>
        <w:spacing w:after="0" w:line="174" w:lineRule="exact"/>
        <w:rPr>
          <w:rFonts w:ascii="Times New Roman" w:cs="Times New Roman" w:eastAsia="Times New Roman" w:hAnsi="Times New Roman"/>
          <w:sz w:val="20"/>
          <w:szCs w:val="20"/>
          <w:color w:val="auto"/>
        </w:rPr>
      </w:pPr>
    </w:p>
    <w:p>
      <w:pPr>
        <w:ind w:left="960" w:hanging="480"/>
        <w:spacing w:after="0" w:line="243" w:lineRule="auto"/>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safety profile of our product candidates following approval, if any, of our product candidates;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and changing government regulation and regulatory guidance;</w:t>
      </w:r>
    </w:p>
    <w:p>
      <w:pPr>
        <w:spacing w:after="0" w:line="176" w:lineRule="exact"/>
        <w:rPr>
          <w:rFonts w:ascii="Times New Roman" w:cs="Times New Roman" w:eastAsia="Times New Roman" w:hAnsi="Times New Roman"/>
          <w:sz w:val="20"/>
          <w:szCs w:val="20"/>
          <w:color w:val="auto"/>
        </w:rPr>
      </w:pPr>
    </w:p>
    <w:p>
      <w:pPr>
        <w:ind w:left="960" w:right="80" w:hanging="480"/>
        <w:spacing w:after="0" w:line="243" w:lineRule="auto"/>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standard of care on which a clinical development plan was based, which may require new or additional trials;</w:t>
      </w:r>
    </w:p>
    <w:p>
      <w:pPr>
        <w:spacing w:after="0" w:line="167"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establish additional strategic collaborations or other arrangements; and</w:t>
      </w:r>
    </w:p>
    <w:p>
      <w:pPr>
        <w:spacing w:after="0" w:line="176" w:lineRule="exact"/>
        <w:rPr>
          <w:rFonts w:ascii="Times New Roman" w:cs="Times New Roman" w:eastAsia="Times New Roman" w:hAnsi="Times New Roman"/>
          <w:sz w:val="20"/>
          <w:szCs w:val="20"/>
          <w:color w:val="auto"/>
        </w:rPr>
      </w:pPr>
    </w:p>
    <w:p>
      <w:pPr>
        <w:ind w:left="960" w:right="140" w:hanging="480"/>
        <w:spacing w:after="0" w:line="243" w:lineRule="auto"/>
        <w:tabs>
          <w:tab w:leader="none" w:pos="9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any business interruptions to our operations or to those of the third parties with whom we work, particularly in light of geopolitical and macroeconomic trends.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177" w:lineRule="exact"/>
        <w:rPr>
          <w:sz w:val="20"/>
          <w:szCs w:val="20"/>
          <w:color w:val="auto"/>
        </w:rPr>
      </w:pPr>
    </w:p>
    <w:p>
      <w:pPr>
        <w:ind w:right="140" w:firstLine="48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costs and expenses, including salaries, employee benefits, and stock-based compensation for our executive and other administrative personnel; legal services, including relating to intellectual property and corporate matters; accounting, auditing, consulting and tax services; insurance; and facility and other allocated costs not otherwise included in research and development expenses. We expect our general and administrative expenses to increase substantially for the foreseeable future as we anticipate an increase in our personnel headcount to support expansion of research and development activities, as well as to support our operations generally. We also expect to continue to incur significant expenses associated with being a public company, including costs related to accounting, audit, legal, regulatory, and tax-related services associated with maintaining compliance with applicable Nasdaq and SEC requirements; additional director and officer insurance costs; and investor and public relations costs.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Total Other Income, Net</w:t>
      </w:r>
    </w:p>
    <w:p>
      <w:pPr>
        <w:spacing w:after="0" w:line="177" w:lineRule="exact"/>
        <w:rPr>
          <w:sz w:val="20"/>
          <w:szCs w:val="20"/>
          <w:color w:val="auto"/>
        </w:rPr>
      </w:pPr>
    </w:p>
    <w:p>
      <w:pPr>
        <w:ind w:right="100" w:firstLine="480"/>
        <w:spacing w:after="0" w:line="248" w:lineRule="auto"/>
        <w:rPr>
          <w:sz w:val="20"/>
          <w:szCs w:val="20"/>
          <w:color w:val="auto"/>
        </w:rPr>
      </w:pPr>
      <w:r>
        <w:rPr>
          <w:rFonts w:ascii="Times New Roman" w:cs="Times New Roman" w:eastAsia="Times New Roman" w:hAnsi="Times New Roman"/>
          <w:sz w:val="20"/>
          <w:szCs w:val="20"/>
          <w:color w:val="auto"/>
        </w:rPr>
        <w:t>Total other income, net includes foreign currency transactions gains and losses, interest income, offering costs on the common warrants recognized as other expense, and changes in the fair value of warrant liability. Earnout liability and warrant liability were classified as liabilities in our consolidated financial statements and were re-measured at each reporting period end. The earnout liability expired in September 2024 as the common stock price targets were not achieved prior to the expiration of the earnout period.</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9360"/>
          </w:cols>
          <w:pgMar w:left="1440" w:top="948" w:right="1440" w:bottom="348"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177"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6"/>
        </w:trPr>
        <w:tc>
          <w:tcPr>
            <w:tcW w:w="8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2"/>
              <w:spacing w:after="0" w:line="19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1"/>
              <w:spacing w:after="0" w:line="19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2"/>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right"/>
              <w:ind w:right="442"/>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r>
      <w:tr>
        <w:trPr>
          <w:trHeight w:val="248"/>
        </w:trPr>
        <w:tc>
          <w:tcPr>
            <w:tcW w:w="3660" w:type="dxa"/>
            <w:vAlign w:val="bottom"/>
            <w:gridSpan w:val="2"/>
          </w:tcPr>
          <w:p>
            <w:pPr>
              <w:jc w:val="right"/>
              <w:ind w:right="2100"/>
              <w:spacing w:after="0"/>
              <w:rPr>
                <w:sz w:val="20"/>
                <w:szCs w:val="20"/>
                <w:color w:val="auto"/>
              </w:rPr>
            </w:pPr>
            <w:r>
              <w:rPr>
                <w:rFonts w:ascii="Times New Roman" w:cs="Times New Roman" w:eastAsia="Times New Roman" w:hAnsi="Times New Roman"/>
                <w:sz w:val="20"/>
                <w:szCs w:val="20"/>
                <w:color w:val="auto"/>
                <w:w w:val="97"/>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Research and development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63,104</w:t>
            </w:r>
          </w:p>
        </w:tc>
        <w:tc>
          <w:tcPr>
            <w:tcW w:w="12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55,821</w:t>
            </w:r>
          </w:p>
        </w:tc>
        <w:tc>
          <w:tcPr>
            <w:tcW w:w="120" w:type="dxa"/>
            <w:vAlign w:val="bottom"/>
          </w:tcPr>
          <w:p>
            <w:pPr>
              <w:spacing w:after="0"/>
              <w:rPr>
                <w:sz w:val="22"/>
                <w:szCs w:val="22"/>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7,283</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2"/>
                <w:szCs w:val="22"/>
                <w:color w:val="auto"/>
              </w:rPr>
            </w:pPr>
          </w:p>
        </w:tc>
      </w:tr>
      <w:tr>
        <w:trPr>
          <w:trHeight w:val="261"/>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General and administrative . . . . . . . . . . .</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20,779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2"/>
                <w:szCs w:val="22"/>
                <w:color w:val="auto"/>
              </w:rPr>
            </w:pPr>
          </w:p>
        </w:tc>
      </w:tr>
      <w:tr>
        <w:trPr>
          <w:trHeight w:val="24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Total operating expenses . . . . . . . . . . .</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83,883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76,239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7,644</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0"/>
                <w:szCs w:val="20"/>
                <w:color w:val="auto"/>
              </w:rPr>
            </w:pPr>
          </w:p>
        </w:tc>
      </w:tr>
      <w:tr>
        <w:trPr>
          <w:trHeight w:val="239"/>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8"/>
              </w:rPr>
              <w:t>Loss from operations . . . . . . . . . . . . . . . . . .</w:t>
            </w: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(83,883)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(76,239)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(7,644)</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0"/>
                <w:szCs w:val="20"/>
                <w:color w:val="auto"/>
              </w:rPr>
            </w:pP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Interest income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(3,317)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6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8"/>
              </w:rPr>
              <w:t>Change in fair value of warrant liability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8,528</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2"/>
                <w:szCs w:val="22"/>
                <w:color w:val="auto"/>
              </w:rPr>
            </w:pPr>
          </w:p>
        </w:tc>
      </w:tr>
      <w:tr>
        <w:trPr>
          <w:trHeight w:val="261"/>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Other expense, net . . . . . . . . . . . . . . . . . .</w:t>
            </w: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(2,187)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(2,099)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NM</w:t>
            </w:r>
          </w:p>
        </w:tc>
      </w:tr>
      <w:tr>
        <w:trPr>
          <w:trHeight w:val="24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Total other income, net . . . . . . . . . . . .</w:t>
            </w: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3,112</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0"/>
                <w:szCs w:val="20"/>
                <w:color w:val="auto"/>
              </w:rPr>
            </w:pPr>
          </w:p>
        </w:tc>
      </w:tr>
      <w:tr>
        <w:trPr>
          <w:trHeight w:val="240"/>
        </w:trPr>
        <w:tc>
          <w:tcPr>
            <w:tcW w:w="36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Net loss and comprehensive loss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(75,801)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(71,269)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(4,532)</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2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77" w:lineRule="exact"/>
        <w:rPr>
          <w:sz w:val="20"/>
          <w:szCs w:val="20"/>
          <w:color w:val="auto"/>
        </w:rPr>
      </w:pPr>
    </w:p>
    <w:p>
      <w:pPr>
        <w:ind w:right="82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our research and development expenses for the periods indicated (in thousands, except percentages):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9"/>
        </w:trPr>
        <w:tc>
          <w:tcPr>
            <w:tcW w:w="3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3"/>
              <w:spacing w:after="0" w:line="199"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2"/>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3"/>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right"/>
              <w:ind w:right="443"/>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r>
      <w:tr>
        <w:trPr>
          <w:trHeight w:val="245"/>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Personnel-related costs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15,146</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1"/>
                <w:szCs w:val="21"/>
                <w:color w:val="auto"/>
              </w:rPr>
            </w:pPr>
          </w:p>
        </w:tc>
      </w:tr>
      <w:tr>
        <w:trPr>
          <w:trHeight w:val="26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General and overhead costs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61"/>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Program costs . . . . . . . . . . . . . . . . . . . . .</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41,635</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34,268</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7,367</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2"/>
                <w:szCs w:val="22"/>
                <w:color w:val="auto"/>
              </w:rPr>
            </w:pPr>
          </w:p>
        </w:tc>
      </w:tr>
      <w:tr>
        <w:trPr>
          <w:trHeight w:val="240"/>
        </w:trPr>
        <w:tc>
          <w:tcPr>
            <w:tcW w:w="36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7"/>
              </w:rPr>
              <w:t>Total research and development expenses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63,104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55,821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7,283</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ind w:right="780" w:firstLine="480"/>
        <w:spacing w:after="0" w:line="243" w:lineRule="auto"/>
        <w:rPr>
          <w:sz w:val="20"/>
          <w:szCs w:val="20"/>
          <w:color w:val="auto"/>
        </w:rPr>
      </w:pPr>
      <w:r>
        <w:rPr>
          <w:rFonts w:ascii="Times New Roman" w:cs="Times New Roman" w:eastAsia="Times New Roman" w:hAnsi="Times New Roman"/>
          <w:sz w:val="20"/>
          <w:szCs w:val="20"/>
          <w:color w:val="auto"/>
        </w:rPr>
        <w:t>Research and development expenses increased by $7.3 million, from $55.8 million for the year ended December 31, 2024 to $63.1 million for the year ended December 31, 2025.</w:t>
      </w:r>
    </w:p>
    <w:p>
      <w:pPr>
        <w:spacing w:after="0" w:line="174" w:lineRule="exact"/>
        <w:rPr>
          <w:sz w:val="20"/>
          <w:szCs w:val="20"/>
          <w:color w:val="auto"/>
        </w:rPr>
      </w:pPr>
    </w:p>
    <w:p>
      <w:pPr>
        <w:ind w:right="360" w:firstLine="480"/>
        <w:spacing w:after="0" w:line="249" w:lineRule="auto"/>
        <w:rPr>
          <w:sz w:val="20"/>
          <w:szCs w:val="20"/>
          <w:color w:val="auto"/>
        </w:rPr>
      </w:pPr>
      <w:r>
        <w:rPr>
          <w:rFonts w:ascii="Times New Roman" w:cs="Times New Roman" w:eastAsia="Times New Roman" w:hAnsi="Times New Roman"/>
          <w:sz w:val="20"/>
          <w:szCs w:val="20"/>
          <w:color w:val="auto"/>
        </w:rPr>
        <w:t>Personnel-related costs, including employee payroll and related expenses, increased by $0.2 million, from $14.9 million for the year ended December 31, 2024 to $15.1 million for the year ended December 31, 2025. We recognized $1.8 million related to severance costs due to the restructuring of our operations in July 2025. As we stopped hiring, our personnel-related costs decreased by $1.6 million in 2025 as compared to 2024. Stock-based compensation expenses, included in personnel-related costs, were $2.0 million for each of the years ended December 31, 2025 and 2024.</w:t>
      </w:r>
    </w:p>
    <w:p>
      <w:pPr>
        <w:spacing w:after="0" w:line="168" w:lineRule="exact"/>
        <w:rPr>
          <w:sz w:val="20"/>
          <w:szCs w:val="20"/>
          <w:color w:val="auto"/>
        </w:rPr>
      </w:pPr>
    </w:p>
    <w:p>
      <w:pPr>
        <w:ind w:right="260" w:firstLine="480"/>
        <w:spacing w:after="0" w:line="265" w:lineRule="auto"/>
        <w:rPr>
          <w:sz w:val="20"/>
          <w:szCs w:val="20"/>
          <w:color w:val="auto"/>
        </w:rPr>
      </w:pPr>
      <w:r>
        <w:rPr>
          <w:rFonts w:ascii="Times New Roman" w:cs="Times New Roman" w:eastAsia="Times New Roman" w:hAnsi="Times New Roman"/>
          <w:sz w:val="19"/>
          <w:szCs w:val="19"/>
          <w:color w:val="auto"/>
        </w:rPr>
        <w:t>General and overhead costs, which include common facilities, human resources and information technology related expenses allocated to research and development, decreased by $0.3 million, from $6.6 million for the year ended December 31, 2024 to $6.3 million for the year ended December 31, 2025, primarily due to decreased allocated overheads to research and development costs following our corporate reorganization in July 2025.</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Program costs increased by $7.3 million, from $34.3 million for the year ended December 31, 2024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$41.6 million for the year ended December 31, 2025. Clinical program expenses primarily consisted of expenses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incurred under agreements with CROs, consultants, other professional services, in vivo study costs and lab</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supplies. Clinical program expenses increased primarily due to an increase in CRO expenses of $3.5 million from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$13.9 million for the year ended December 31, 2024 to $17.4 million for the year ended December 31, 2025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increase in the in vivo study costs of $2.4 million from $1.0 million for the year ended December 31, 2024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 million for the year ended December 31, 2025.</w:t>
      </w:r>
    </w:p>
    <w:p>
      <w:pPr>
        <w:sectPr>
          <w:pgSz w:w="12240" w:h="15840" w:orient="portrait"/>
          <w:cols w:equalWidth="0" w:num="1">
            <w:col w:w="9360"/>
          </w:cols>
          <w:pgMar w:left="1440" w:top="942"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9360"/>
          </w:cols>
          <w:pgMar w:left="1440" w:top="942" w:right="1440" w:bottom="348" w:gutter="0" w:footer="0" w:header="0"/>
          <w:type w:val="continuous"/>
        </w:sectPr>
      </w:pPr>
    </w:p>
    <w:bookmarkStart w:id="102" w:name="page103"/>
    <w:bookmarkEnd w:id="102"/>
    <w:p>
      <w:pPr>
        <w:ind w:left="480"/>
        <w:spacing w:after="0"/>
        <w:rPr>
          <w:sz w:val="20"/>
          <w:szCs w:val="20"/>
          <w:color w:val="auto"/>
        </w:rPr>
      </w:pPr>
      <w:r>
        <w:rPr>
          <w:rFonts w:ascii="Times New Roman" w:cs="Times New Roman" w:eastAsia="Times New Roman" w:hAnsi="Times New Roman"/>
          <w:sz w:val="20"/>
          <w:szCs w:val="20"/>
          <w:color w:val="auto"/>
        </w:rPr>
        <w:t>Our program costs for the year ended December 31, 2025 and 2024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9"/>
        </w:trPr>
        <w:tc>
          <w:tcPr>
            <w:tcW w:w="3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2"/>
              <w:spacing w:after="0" w:line="199"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2"/>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1260" w:type="dxa"/>
            <w:vAlign w:val="bottom"/>
            <w:tcBorders>
              <w:bottom w:val="single" w:sz="8" w:color="auto"/>
            </w:tcBorders>
          </w:tcPr>
          <w:p>
            <w:pPr>
              <w:jc w:val="right"/>
              <w:ind w:right="442"/>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7"/>
                <w:szCs w:val="17"/>
                <w:color w:val="auto"/>
              </w:rPr>
            </w:pPr>
          </w:p>
        </w:tc>
      </w:tr>
      <w:tr>
        <w:trPr>
          <w:trHeight w:val="245"/>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Briquilimab platform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5,637</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1"/>
                <w:szCs w:val="21"/>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CMO . . . . . . . .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12,912</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3,412</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CSU . . . . . . . . .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Asthma . . . . . .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2,996</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CindU . . . . . . .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w:t>
            </w: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22"/>
                <w:szCs w:val="22"/>
                <w:color w:val="auto"/>
              </w:rPr>
            </w:pPr>
          </w:p>
        </w:tc>
      </w:tr>
      <w:tr>
        <w:trPr>
          <w:trHeight w:val="26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SCID . . . . . . . .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2,409</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(943)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MDS/AML . . .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1,824</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(1,606)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4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Total program costs . . . . . . . . . . . . . . . . . . .</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41,635</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34,268</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7,367</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At the program level, the increase in clinical program expenses was primarily driven by higher costs related to the briquilimab platform, CMO product development and manufacturing expenses not allocated to specific programs, and the CSU, CindU, and asthma programs. Enrollment in the ETESIAN study for the asthma program, which began in late 2024, was halted in July 2025 after it was determined that the clinical material used in the study was supplied from a drug product lot under investigation due to an atypical lack of efficacy observed in two cohorts of the BEACON study, in which material from the same lot was also used. In July 2025, we discontinued the SCID program. We incurred restructuring charges of approximately $1.8 million during the year ended December 31, 2025 in connection with halting enrollment in the clinical trial for our asthma program and discontinuing the SCID program, included in research and development expenses, and we do not expect to incur significant costs related to these programs in the future. We substantially discontinued the MDS/AML program in late 2024 and do not expect to incur significant costs related to this program in the future.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77" w:lineRule="exact"/>
        <w:rPr>
          <w:sz w:val="20"/>
          <w:szCs w:val="20"/>
          <w:color w:val="auto"/>
        </w:rPr>
      </w:pPr>
    </w:p>
    <w:p>
      <w:pPr>
        <w:ind w:right="120" w:firstLine="480"/>
        <w:spacing w:after="0" w:line="263" w:lineRule="auto"/>
        <w:rPr>
          <w:sz w:val="20"/>
          <w:szCs w:val="20"/>
          <w:color w:val="auto"/>
        </w:rPr>
      </w:pPr>
      <w:r>
        <w:rPr>
          <w:rFonts w:ascii="Times New Roman" w:cs="Times New Roman" w:eastAsia="Times New Roman" w:hAnsi="Times New Roman"/>
          <w:sz w:val="19"/>
          <w:szCs w:val="19"/>
          <w:color w:val="auto"/>
        </w:rPr>
        <w:t>General and administrative expenses increased by $0.4 million, from $20.4 million for the year ended December 31, 2024 to $20.8 million for the year ended December 31, 2025. Employee payroll and related expenses increased by $0.3 million, from $11.4 million for the year ended December 31, 2024 to $11.7 million for the</w:t>
      </w:r>
    </w:p>
    <w:p>
      <w:pPr>
        <w:spacing w:after="0" w:line="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year ended December 31, 2025, due to increased stock-based compensation expense. Stock-based compensation expenses, included in employee payroll and related expenses, were $4.1 million and $3.7 million for the years ended December 31, 2025 and 2024, respectively. Expenses related to professional consulting services were $7.3 million and $7.2 million for the years ended December 31, 2025 and 2024, respectively. Other expenses were $1.8 million for each of the years ended December 31, 2025 and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Other Income, Net</w:t>
      </w:r>
    </w:p>
    <w:p>
      <w:pPr>
        <w:spacing w:after="0" w:line="177" w:lineRule="exact"/>
        <w:rPr>
          <w:sz w:val="20"/>
          <w:szCs w:val="20"/>
          <w:color w:val="auto"/>
        </w:rPr>
      </w:pPr>
    </w:p>
    <w:p>
      <w:pPr>
        <w:ind w:right="120" w:firstLine="480"/>
        <w:spacing w:after="0" w:line="243" w:lineRule="auto"/>
        <w:rPr>
          <w:sz w:val="20"/>
          <w:szCs w:val="20"/>
          <w:color w:val="auto"/>
        </w:rPr>
      </w:pPr>
      <w:r>
        <w:rPr>
          <w:rFonts w:ascii="Times New Roman" w:cs="Times New Roman" w:eastAsia="Times New Roman" w:hAnsi="Times New Roman"/>
          <w:sz w:val="20"/>
          <w:szCs w:val="20"/>
          <w:color w:val="auto"/>
        </w:rPr>
        <w:t>Total other income, net increased by $3.1 million, from $5.0 million for the year ended December 31, 2024 to $8.1 million for the year ended December 31, 2025.</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Interest income decreased by $3.4 million, from $5.1 million for the year ended December 31, 2024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 million for the year ended December 31, 2025, primarily due to lower cash balances invested in money market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funds.</w:t>
      </w:r>
    </w:p>
    <w:p>
      <w:pPr>
        <w:spacing w:after="0" w:line="177" w:lineRule="exact"/>
        <w:rPr>
          <w:sz w:val="20"/>
          <w:szCs w:val="20"/>
          <w:color w:val="auto"/>
        </w:rPr>
      </w:pPr>
    </w:p>
    <w:p>
      <w:pPr>
        <w:jc w:val="both"/>
        <w:ind w:right="300" w:firstLine="480"/>
        <w:spacing w:after="0" w:line="263" w:lineRule="auto"/>
        <w:rPr>
          <w:sz w:val="20"/>
          <w:szCs w:val="20"/>
          <w:color w:val="auto"/>
        </w:rPr>
      </w:pPr>
      <w:r>
        <w:rPr>
          <w:rFonts w:ascii="Times New Roman" w:cs="Times New Roman" w:eastAsia="Times New Roman" w:hAnsi="Times New Roman"/>
          <w:sz w:val="19"/>
          <w:szCs w:val="19"/>
          <w:color w:val="auto"/>
        </w:rPr>
        <w:t>In connection with our underwritten public offering in September 2025, we issued common stock warrants, which are accounted for as liabilities at fair value, and remeasured at each reporting period until their exercise or expiration. We use Black-Scholes pricing model to estimate fair value of these warrants at each reporting date.</w:t>
      </w:r>
    </w:p>
    <w:p>
      <w:pPr>
        <w:spacing w:after="0" w:line="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Changes in our common stock price, volatility and estimated term may significantly impact the fair value of warrant liability. See Note 3, Fair Value Measurements, in our consolidated financial statements included elsewhere in this Annual Report on Form 10-K for additional details. The change in fair value of warrant liability of $8.5 million represents a decrease in the fair value of common stock warrants from the issuance date of September 22, 2025 to December 31, 2025.</w:t>
      </w:r>
    </w:p>
    <w:p>
      <w:pPr>
        <w:spacing w:after="0" w:line="172"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Other expense includes $2.0 million offering costs associated with our underwritten public offering, which was closed in September 2025.</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360"/>
          </w:cols>
          <w:pgMar w:left="1440" w:top="941" w:right="1440" w:bottom="348"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we had $28.7 million of cash and cash equivalents.</w:t>
      </w:r>
    </w:p>
    <w:p>
      <w:pPr>
        <w:spacing w:after="0" w:line="177"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In order to assist in funding our future operations, including our planned clinical trials, on March 19, 2025, we filed a new universal shelf registration statement on Form S-3 (the “Shelf Registration Statement”) with the SEC, which was declared effective on March 26, 2025 and superseded our prior universal shelf registration statement. As of December 31, 2025, we can sell from time to time up to $263.5 million of common stock, preferred stock, debt securities, warrants, rights, units and depositary shares comprised of any combination of these securities, for our own account in one or more offerings under the Shelf Registration Statement. The terms of any offering under the Shelf Registration Statement will be established at the time of such offering and will be described in a prospectus supplement to the Shelf Registration Statement filed with the SEC prior to the completion of any such offering.</w:t>
      </w:r>
    </w:p>
    <w:p>
      <w:pPr>
        <w:spacing w:after="0" w:line="157"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20"/>
          <w:szCs w:val="20"/>
          <w:color w:val="auto"/>
        </w:rPr>
        <w:t>On March 19, 2025,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20"/>
          <w:szCs w:val="20"/>
          <w:color w:val="auto"/>
        </w:rPr>
        <w:t xml:space="preserve"> with Jefferies LLC (“Jefferies”), pursuant to which we may offer and sell through or to Jefferies, as sales agent or principal, shares of common stock from time to time (the “ATM Offering”). On March 26, 2025, we filed with the SEC a prospectus under the New S-3 in connection with the ATM Offering (the “ATM Prospectus”), pursuant to which we may offer and sell shares of common stock having an aggregate offering price of up to $100.0 million. As of December 31, 2025, we issued and sold an aggregate of 1,231,447 shares of common stock for net proceeds of approximately $6.5 million pursuant to the ATM Prospectus.</w:t>
      </w:r>
    </w:p>
    <w:p>
      <w:pPr>
        <w:spacing w:after="0" w:line="175"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20"/>
          <w:szCs w:val="20"/>
          <w:color w:val="auto"/>
        </w:rPr>
        <w:t>On September 18, 2025, we entered into an underwriting agreement with TD Securities (USA) LLC as the representative of the several underwriters named therein, relating to an underwritten public offering under the Shelf Registration Statement. On September 22, 2025, we closed the offering and issued an aggregate of 11,670,707 shares of common stock, pre-funded warrants to purchase 675,000 shares of common stock and common stock warrants to purchase 12,345,707 shares of common stock, for net proceeds of approximately $27.5 million.</w:t>
      </w:r>
    </w:p>
    <w:p>
      <w:pPr>
        <w:spacing w:after="0" w:line="172" w:lineRule="exact"/>
        <w:rPr>
          <w:sz w:val="20"/>
          <w:szCs w:val="20"/>
          <w:color w:val="auto"/>
        </w:rPr>
      </w:pPr>
    </w:p>
    <w:p>
      <w:pPr>
        <w:ind w:right="580"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$93.5 million remains allocated and available under the ATM Prospectus and $170.0 million remains available and unallocated under the Shelf Registration Statement.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Future Funding Requirements</w:t>
      </w:r>
    </w:p>
    <w:p>
      <w:pPr>
        <w:spacing w:after="0" w:line="177" w:lineRule="exact"/>
        <w:rPr>
          <w:sz w:val="20"/>
          <w:szCs w:val="20"/>
          <w:color w:val="auto"/>
        </w:rPr>
      </w:pPr>
    </w:p>
    <w:p>
      <w:pPr>
        <w:ind w:right="140" w:firstLine="480"/>
        <w:spacing w:after="0" w:line="263" w:lineRule="auto"/>
        <w:rPr>
          <w:sz w:val="20"/>
          <w:szCs w:val="20"/>
          <w:color w:val="auto"/>
        </w:rPr>
      </w:pPr>
      <w:r>
        <w:rPr>
          <w:rFonts w:ascii="Times New Roman" w:cs="Times New Roman" w:eastAsia="Times New Roman" w:hAnsi="Times New Roman"/>
          <w:sz w:val="19"/>
          <w:szCs w:val="19"/>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expenses for the foreseeable future as we continue to advance our product candidates, expand our corporate infrastructure, operate as a public company, further our research and development initiatives for our product candidates, scale our laboratory and manufacturing operations, and incur marketing costs associated with potential commercialization. We are subject to all the risks typically related to the development</w:t>
      </w:r>
    </w:p>
    <w:p>
      <w:pPr>
        <w:spacing w:after="0" w:line="4"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color w:val="auto"/>
        </w:rPr>
        <w:t>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73" w:lineRule="exact"/>
        <w:rPr>
          <w:sz w:val="20"/>
          <w:szCs w:val="20"/>
          <w:color w:val="auto"/>
        </w:rPr>
      </w:pPr>
    </w:p>
    <w:p>
      <w:pPr>
        <w:ind w:right="160" w:firstLine="480"/>
        <w:spacing w:after="0" w:line="263" w:lineRule="auto"/>
        <w:rPr>
          <w:sz w:val="20"/>
          <w:szCs w:val="20"/>
          <w:color w:val="auto"/>
        </w:rPr>
      </w:pPr>
      <w:r>
        <w:rPr>
          <w:rFonts w:ascii="Times New Roman" w:cs="Times New Roman" w:eastAsia="Times New Roman" w:hAnsi="Times New Roman"/>
          <w:sz w:val="19"/>
          <w:szCs w:val="19"/>
          <w:color w:val="auto"/>
        </w:rPr>
        <w:t>We have incurred significant losses and negative cash flows from operations since our inception. As of December 31, 2025, we had an accumulated deficit of $316.7 million. Given our recurring losses from operations and negative cash flows, and based on our current operating plan, we have concluded that there is substantial doubt about our ability to continue as a going concern within one year from the date of filing of this Annual Report</w:t>
      </w:r>
    </w:p>
    <w:p>
      <w:pPr>
        <w:spacing w:after="0" w:line="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on Form 10-K. We expect to finance our future cash needs through equity or debt financings, collaborations or a combination of these approaches. The sale of equity or convertible debt securities may result in dilution to our stockholders, and, in the case of preferred equity securities or convertible debt, those securities could provide for rights, preferences or privileges senior to those of our common stock. Debt financings may subject us to covenant limitations or restrictions on our ability to take specific actions, such as incurring additional debt or making capital expenditures. Our ability to raise additional funds may be adversely impacted by negative global economic conditions and any disruptions to and volatility in the credit and financial markets in the United States and worldwide or other factors. There can be no assurance that we will be successful in acquiring additional funding at levels sufficient to fund our operations or on terms favorable or acceptable to us. If we are unable to obtain adequate financing when needed or on terms favorable or acceptable to us, we may be forced to delay, reduce the scope of or eliminate one or more of our research and development programs.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360"/>
          </w:cols>
          <w:pgMar w:left="1440" w:top="941" w:right="1440" w:bottom="348" w:gutter="0" w:footer="0" w:header="0"/>
          <w:type w:val="continuous"/>
        </w:sectPr>
      </w:pPr>
    </w:p>
    <w:bookmarkStart w:id="104" w:name="page105"/>
    <w:bookmarkEnd w:id="104"/>
    <w:p>
      <w:pPr>
        <w:ind w:left="480"/>
        <w:spacing w:after="0"/>
        <w:rPr>
          <w:sz w:val="20"/>
          <w:szCs w:val="20"/>
          <w:color w:val="auto"/>
        </w:rPr>
      </w:pPr>
      <w:r>
        <w:rPr>
          <w:rFonts w:ascii="Times New Roman" w:cs="Times New Roman" w:eastAsia="Times New Roman" w:hAnsi="Times New Roman"/>
          <w:sz w:val="20"/>
          <w:szCs w:val="20"/>
          <w:color w:val="auto"/>
        </w:rPr>
        <w:t>Our future financing requirements will depend on many factors, including:</w:t>
      </w:r>
    </w:p>
    <w:p>
      <w:pPr>
        <w:spacing w:after="0" w:line="177" w:lineRule="exact"/>
        <w:rPr>
          <w:sz w:val="20"/>
          <w:szCs w:val="20"/>
          <w:color w:val="auto"/>
        </w:rPr>
      </w:pPr>
    </w:p>
    <w:p>
      <w:pPr>
        <w:ind w:left="960" w:right="1220" w:hanging="480"/>
        <w:spacing w:after="0" w:line="243" w:lineRule="auto"/>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scope, progress, results and costs of research and development, preclinical and non-clinical studies and clinical trials for our current and future product candidates;</w:t>
      </w:r>
    </w:p>
    <w:p>
      <w:pPr>
        <w:spacing w:after="0" w:line="174" w:lineRule="exact"/>
        <w:rPr>
          <w:rFonts w:ascii="Times New Roman" w:cs="Times New Roman" w:eastAsia="Times New Roman" w:hAnsi="Times New Roman"/>
          <w:sz w:val="20"/>
          <w:szCs w:val="20"/>
          <w:color w:val="auto"/>
        </w:rPr>
      </w:pPr>
    </w:p>
    <w:p>
      <w:pPr>
        <w:ind w:left="960" w:right="480" w:hanging="480"/>
        <w:spacing w:after="0" w:line="243" w:lineRule="auto"/>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scope and duration of clinical trials required for regulatory approval of our current and future product candidates;</w:t>
      </w:r>
    </w:p>
    <w:p>
      <w:pPr>
        <w:spacing w:after="0" w:line="174" w:lineRule="exact"/>
        <w:rPr>
          <w:rFonts w:ascii="Times New Roman" w:cs="Times New Roman" w:eastAsia="Times New Roman" w:hAnsi="Times New Roman"/>
          <w:sz w:val="20"/>
          <w:szCs w:val="20"/>
          <w:color w:val="auto"/>
        </w:rPr>
      </w:pPr>
    </w:p>
    <w:p>
      <w:pPr>
        <w:ind w:left="960" w:right="220" w:hanging="480"/>
        <w:spacing w:after="0" w:line="248" w:lineRule="auto"/>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timing and costs of seeking and obtaining regulatory approvals from the FDA and comparable foreign regulatory authorities for our product candidates, including any requirement to conduct additional studies or generate additional data beyond that which we currently expect would be required to support a marketing application;</w:t>
      </w:r>
    </w:p>
    <w:p>
      <w:pPr>
        <w:spacing w:after="0" w:line="169" w:lineRule="exact"/>
        <w:rPr>
          <w:rFonts w:ascii="Times New Roman" w:cs="Times New Roman" w:eastAsia="Times New Roman" w:hAnsi="Times New Roman"/>
          <w:sz w:val="20"/>
          <w:szCs w:val="20"/>
          <w:color w:val="auto"/>
        </w:rPr>
      </w:pPr>
    </w:p>
    <w:p>
      <w:pPr>
        <w:ind w:left="960" w:right="920" w:hanging="480"/>
        <w:spacing w:after="0" w:line="243" w:lineRule="auto"/>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manufacturing clinical and commercial supplies of our current and future product candidates;</w:t>
      </w:r>
    </w:p>
    <w:p>
      <w:pPr>
        <w:spacing w:after="0" w:line="174" w:lineRule="exact"/>
        <w:rPr>
          <w:rFonts w:ascii="Times New Roman" w:cs="Times New Roman" w:eastAsia="Times New Roman" w:hAnsi="Times New Roman"/>
          <w:sz w:val="20"/>
          <w:szCs w:val="20"/>
          <w:color w:val="auto"/>
        </w:rPr>
      </w:pPr>
    </w:p>
    <w:p>
      <w:pPr>
        <w:ind w:left="960" w:right="60" w:hanging="480"/>
        <w:spacing w:after="0" w:line="268" w:lineRule="auto"/>
        <w:tabs>
          <w:tab w:leader="none" w:pos="96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and timing of future commercialization activities, including product manufacturing, marketing, sales and distribution, for any of our product candidates for which we receive marketing approval;</w:t>
      </w:r>
    </w:p>
    <w:p>
      <w:pPr>
        <w:spacing w:after="0" w:line="145" w:lineRule="exact"/>
        <w:rPr>
          <w:rFonts w:ascii="Times New Roman" w:cs="Times New Roman" w:eastAsia="Times New Roman" w:hAnsi="Times New Roman"/>
          <w:sz w:val="19"/>
          <w:szCs w:val="19"/>
          <w:color w:val="auto"/>
        </w:rPr>
      </w:pPr>
    </w:p>
    <w:p>
      <w:pPr>
        <w:ind w:left="960" w:hanging="480"/>
        <w:spacing w:after="0"/>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 liability or other lawsuits related to our product candidates;</w:t>
      </w:r>
    </w:p>
    <w:p>
      <w:pPr>
        <w:spacing w:after="0" w:line="176" w:lineRule="exact"/>
        <w:rPr>
          <w:rFonts w:ascii="Times New Roman" w:cs="Times New Roman" w:eastAsia="Times New Roman" w:hAnsi="Times New Roman"/>
          <w:sz w:val="20"/>
          <w:szCs w:val="20"/>
          <w:color w:val="auto"/>
        </w:rPr>
      </w:pPr>
    </w:p>
    <w:p>
      <w:pPr>
        <w:ind w:left="960" w:right="100" w:hanging="480"/>
        <w:spacing w:after="0" w:line="243" w:lineRule="auto"/>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revenue, if any, received from commercial sales of any product candidates for which we may receive marketing approval;</w:t>
      </w:r>
    </w:p>
    <w:p>
      <w:pPr>
        <w:spacing w:after="0" w:line="174" w:lineRule="exact"/>
        <w:rPr>
          <w:rFonts w:ascii="Times New Roman" w:cs="Times New Roman" w:eastAsia="Times New Roman" w:hAnsi="Times New Roman"/>
          <w:sz w:val="20"/>
          <w:szCs w:val="20"/>
          <w:color w:val="auto"/>
        </w:rPr>
      </w:pPr>
    </w:p>
    <w:p>
      <w:pPr>
        <w:ind w:left="960" w:right="420" w:hanging="480"/>
        <w:spacing w:after="0" w:line="243" w:lineRule="auto"/>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 commercially viable pricing structure and obtain approval for coverage and adequate reimbursement from third-party and government payers;</w:t>
      </w:r>
    </w:p>
    <w:p>
      <w:pPr>
        <w:spacing w:after="0" w:line="174" w:lineRule="exact"/>
        <w:rPr>
          <w:rFonts w:ascii="Times New Roman" w:cs="Times New Roman" w:eastAsia="Times New Roman" w:hAnsi="Times New Roman"/>
          <w:sz w:val="20"/>
          <w:szCs w:val="20"/>
          <w:color w:val="auto"/>
        </w:rPr>
      </w:pPr>
    </w:p>
    <w:p>
      <w:pPr>
        <w:ind w:left="960" w:right="40" w:hanging="480"/>
        <w:spacing w:after="0" w:line="248" w:lineRule="auto"/>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our patents or other intellectual property rights;</w:t>
      </w:r>
    </w:p>
    <w:p>
      <w:pPr>
        <w:spacing w:after="0" w:line="162"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to attract, hire and retain skilled personnel; and</w:t>
      </w:r>
    </w:p>
    <w:p>
      <w:pPr>
        <w:spacing w:after="0" w:line="170" w:lineRule="exact"/>
        <w:rPr>
          <w:rFonts w:ascii="Times New Roman" w:cs="Times New Roman" w:eastAsia="Times New Roman" w:hAnsi="Times New Roman"/>
          <w:sz w:val="20"/>
          <w:szCs w:val="20"/>
          <w:color w:val="auto"/>
        </w:rPr>
      </w:pPr>
    </w:p>
    <w:p>
      <w:pPr>
        <w:ind w:left="960" w:hanging="480"/>
        <w:spacing w:after="0"/>
        <w:tabs>
          <w:tab w:leader="none" w:pos="9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177" w:lineRule="exact"/>
        <w:rPr>
          <w:sz w:val="20"/>
          <w:szCs w:val="20"/>
          <w:color w:val="auto"/>
        </w:rPr>
      </w:pPr>
    </w:p>
    <w:p>
      <w:pPr>
        <w:ind w:right="240" w:firstLine="480"/>
        <w:spacing w:after="0" w:line="248" w:lineRule="auto"/>
        <w:rPr>
          <w:sz w:val="20"/>
          <w:szCs w:val="20"/>
          <w:color w:val="auto"/>
        </w:rPr>
      </w:pPr>
      <w:r>
        <w:rPr>
          <w:rFonts w:ascii="Times New Roman" w:cs="Times New Roman" w:eastAsia="Times New Roman" w:hAnsi="Times New Roman"/>
          <w:sz w:val="20"/>
          <w:szCs w:val="20"/>
          <w:color w:val="auto"/>
        </w:rPr>
        <w:t>A change in the outcome of any of these or other variables could significantly change the costs and timing associated with the development of our product candidates. Furthermore, our operating plans may change in the future, and we may need additional funds to meet operational needs and capital requirements associated with such change.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 and Commitments</w:t>
      </w:r>
    </w:p>
    <w:p>
      <w:pPr>
        <w:spacing w:after="0" w:line="17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We enter into contracts in the normal course of business with CROs for clinical trials, with CMOs for clinical supplies manufacturing and with other vendors for preclinical studies, supplies and other services and products for operating purposes. These contracts generally provide for termination on notice or may have a potential termination fee if a purchase order is cancelled within a specified time, and therefore are cancelable contracts. We do not expect any such contract terminations and did not have any non-cancellable obligations under these agreements as of December 31, 2025.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177" w:lineRule="exact"/>
        <w:rPr>
          <w:sz w:val="20"/>
          <w:szCs w:val="20"/>
          <w:color w:val="auto"/>
        </w:rPr>
      </w:pPr>
    </w:p>
    <w:p>
      <w:pPr>
        <w:ind w:right="120"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2025, we leased approximately 25,900 square feet of space for our headquarters in Redwood City, California. The lease expires in August 2026. We have an option to extend the term for an additional five years to August 2031. In addition to base rent, we pay our share of operating expenses and taxes. As of December 31, 2025, our rent commitments under the lease agreement were $1.3 million within the next 12 months from December 31, 2025.</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360"/>
          </w:cols>
          <w:pgMar w:left="1440" w:top="941" w:right="1440" w:bottom="348"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i w:val="1"/>
          <w:iCs w:val="1"/>
          <w:color w:val="auto"/>
        </w:rPr>
        <w:t>Stanford License Agreements</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In March 2021, we entered into an exclusive license agreement with Stanford (the “2021 Stanford License Agreement”). In July 2023, we entered into an amendment to the 2021 Stanford License Agreement to modify certain milestones set forth thereunder. Pursuant to the 2021 Stanford License Agreement we are required to pay annual license maintenance fees, beginning on the first anniversary of the effective date of the agreement and ending upon the first commercial sale of a product, method, or service in the licensed field of use, as follows: $25,000 for each first and second year, $35,000 for each third and fourth year, and $50,000 at each anniversary thereafter ending upon the first commercial sale. We are also obligated to pay late-stage clinical development milestone payments and first commercial sales milestone payments of up to $9.0 million in total. We will also pay low single-digit royalties on net sales of licensed products. All products were in development as of December 31, 2025, and no such royalties were due as of such date and no milestones were achieved.</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December 2024, we entered into a co-exclusive license agreement with Stanford (the “2024 Stanford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License Agreement”). Pursuant to the 2024 Stanford License Agreement, we are required to pay a license issuance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 of $75,000, which was paid in January 2025, and annual license maintenance fees, beginning on the first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anniversary of the effective date of the agreement: $25,000 for each of the first through third years, $50,000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of the fourth through sixth years and $65,000 at each anniversary thereafter. As of December 31, 2025, we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recognized $25,000 related to the annual license maintenance fees as research and development expense in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 of operations and comprehensive loss and as accounts payable in the consolidated balance sheet.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we recognized $75,000 related to the license issue fee as research and development expense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statement of operations and comprehensive loss and as accrued expenses and other current liabilities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consolidated balance sheet. We are also obligated to pay clinical development milestone payments of up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 million and sales milestone payments of up to $7.0 million in total. We will also pay low single-digit royalties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net sales of licensed products. All products are in development as of December 31, 2025, and no such royalties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were due as of such date and no milestones were achieved.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sources and uses of cash for the periods presented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65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 . . . . . . . . . . . . . .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(77,161)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(62,602)</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(532)</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 . . . . . . . . . . . . . . . . . . . . . . . . . . . . . . .</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34,211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47,884</w:t>
            </w:r>
          </w:p>
        </w:tc>
        <w:tc>
          <w:tcPr>
            <w:tcW w:w="60" w:type="dxa"/>
            <w:vAlign w:val="bottom"/>
          </w:tcPr>
          <w:p>
            <w:pPr>
              <w:spacing w:after="0"/>
              <w:rPr>
                <w:sz w:val="22"/>
                <w:szCs w:val="22"/>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(decrease) increase in cash and cash equivalents and restricted cash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(42,945)</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(15,250)</w:t>
            </w:r>
          </w:p>
        </w:tc>
      </w:tr>
      <w:tr>
        <w:trPr>
          <w:trHeight w:val="20"/>
        </w:trPr>
        <w:tc>
          <w:tcPr>
            <w:tcW w:w="6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Operating Activities</w:t>
      </w:r>
    </w:p>
    <w:p>
      <w:pPr>
        <w:spacing w:after="0" w:line="177" w:lineRule="exact"/>
        <w:rPr>
          <w:sz w:val="20"/>
          <w:szCs w:val="20"/>
          <w:color w:val="auto"/>
        </w:rPr>
      </w:pPr>
    </w:p>
    <w:p>
      <w:pPr>
        <w:ind w:right="300" w:firstLine="480"/>
        <w:spacing w:after="0" w:line="243" w:lineRule="auto"/>
        <w:rPr>
          <w:sz w:val="20"/>
          <w:szCs w:val="20"/>
          <w:color w:val="auto"/>
        </w:rPr>
      </w:pPr>
      <w:r>
        <w:rPr>
          <w:rFonts w:ascii="Times New Roman" w:cs="Times New Roman" w:eastAsia="Times New Roman" w:hAnsi="Times New Roman"/>
          <w:sz w:val="20"/>
          <w:szCs w:val="20"/>
          <w:color w:val="auto"/>
        </w:rPr>
        <w:t>Net cash used in operating activities was $77.2 million and $62.6 million for the years ended December 31, 2025 and 2024, respectively.</w:t>
      </w:r>
    </w:p>
    <w:p>
      <w:pPr>
        <w:spacing w:after="0" w:line="174"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Cash used in operating activities in the year ended December 31, 2025 was primarily due to our net loss for the period of $75.8 million, partially offset by non-cash items totaling $3.6 million and a net change of $4.9 million in our net operating assets and liabilities. The non-cash amounts consisted of $6.7 million related to stock-based compensation expense, $2.0 million related to offering costs recognized as expense, $1.1 million related to depreciation and amortization expense, impairment loss of $1.1 million and $1.2 million non-cash lease expense, partially offset by change in fair value of warrant liability of $8.5 million. The changes in our net operating assets and liabilities were primarily due to an increase of $2.2 million in accounts payable and a decrease of $0.7 million in other non-current assets, offset by a decrease of $4.4 million in accrued expenses and other current liabilities, an increase of $1.8 million in prepaid expenses and other current assets, and a decrease of $1.7 million in operating lease liability.</w:t>
      </w:r>
    </w:p>
    <w:p>
      <w:pPr>
        <w:spacing w:after="0" w:line="174" w:lineRule="exact"/>
        <w:rPr>
          <w:sz w:val="20"/>
          <w:szCs w:val="20"/>
          <w:color w:val="auto"/>
        </w:rPr>
      </w:pPr>
    </w:p>
    <w:p>
      <w:pPr>
        <w:ind w:right="60" w:firstLine="480"/>
        <w:spacing w:after="0" w:line="265" w:lineRule="auto"/>
        <w:rPr>
          <w:sz w:val="20"/>
          <w:szCs w:val="20"/>
          <w:color w:val="auto"/>
        </w:rPr>
      </w:pPr>
      <w:r>
        <w:rPr>
          <w:rFonts w:ascii="Times New Roman" w:cs="Times New Roman" w:eastAsia="Times New Roman" w:hAnsi="Times New Roman"/>
          <w:sz w:val="19"/>
          <w:szCs w:val="19"/>
          <w:color w:val="auto"/>
        </w:rPr>
        <w:t>Cash used in operating activities in the year ended December 31, 2024 was primarily due to our net loss for the period of $71.3 million, adjusted by non-cash net loss of $8.5 million and a net change of $0.2 million in our net operating assets and liabilities. The non-cash amounts consisted of $6.6 million related to stock-based compensation expense, $1.4 million related to depreciation and amortization expense and $0.5 million non-cash lease expense.</w:t>
      </w:r>
    </w:p>
    <w:p>
      <w:pPr>
        <w:sectPr>
          <w:pgSz w:w="12240" w:h="15840" w:orient="portrait"/>
          <w:cols w:equalWidth="0" w:num="1">
            <w:col w:w="9360"/>
          </w:cols>
          <w:pgMar w:left="1440" w:top="941" w:right="1440" w:bottom="348"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360"/>
          </w:cols>
          <w:pgMar w:left="1440" w:top="941" w:right="1440" w:bottom="348" w:gutter="0" w:footer="0" w:header="0"/>
          <w:type w:val="continuous"/>
        </w:sectPr>
      </w:pPr>
    </w:p>
    <w:bookmarkStart w:id="106" w:name="page107"/>
    <w:bookmarkEnd w:id="106"/>
    <w:p>
      <w:pPr>
        <w:ind w:right="60"/>
        <w:spacing w:after="0" w:line="248" w:lineRule="auto"/>
        <w:rPr>
          <w:sz w:val="20"/>
          <w:szCs w:val="20"/>
          <w:color w:val="auto"/>
        </w:rPr>
      </w:pPr>
      <w:r>
        <w:rPr>
          <w:rFonts w:ascii="Times New Roman" w:cs="Times New Roman" w:eastAsia="Times New Roman" w:hAnsi="Times New Roman"/>
          <w:sz w:val="20"/>
          <w:szCs w:val="20"/>
          <w:color w:val="auto"/>
        </w:rPr>
        <w:t>The changes in our net operating assets and liabilities were primarily due to an increase of $2.9 million in accrued expenses and other current liabilities and a decrease of $0.5 million in other non-current assets, offset by an increase of $2.1 million in prepaid expenses and other current assets, a decrease of $1.0 million in operating lease liability and a decrease of $0.1 million in accounts payable.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Investing Activities</w:t>
      </w:r>
    </w:p>
    <w:p>
      <w:pPr>
        <w:spacing w:after="0" w:line="177" w:lineRule="exact"/>
        <w:rPr>
          <w:sz w:val="20"/>
          <w:szCs w:val="20"/>
          <w:color w:val="auto"/>
        </w:rPr>
      </w:pPr>
    </w:p>
    <w:p>
      <w:pPr>
        <w:ind w:right="120" w:firstLine="480"/>
        <w:spacing w:after="0" w:line="243" w:lineRule="auto"/>
        <w:rPr>
          <w:sz w:val="20"/>
          <w:szCs w:val="20"/>
          <w:color w:val="auto"/>
        </w:rPr>
      </w:pPr>
      <w:r>
        <w:rPr>
          <w:rFonts w:ascii="Times New Roman" w:cs="Times New Roman" w:eastAsia="Times New Roman" w:hAnsi="Times New Roman"/>
          <w:sz w:val="20"/>
          <w:szCs w:val="20"/>
          <w:color w:val="auto"/>
        </w:rPr>
        <w:t>Cash provided by investing activities was less than $0.1 million for the year ended December 31, 2025, which primarily consisted of proceeds from sales of property and equipment.</w:t>
      </w:r>
    </w:p>
    <w:p>
      <w:pPr>
        <w:spacing w:after="0" w:line="174"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Cash used in investing activities was $0.5 million for the year ended December 31, 2024, principally consisting of purchases of property and equipment.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Flows from Financing Activities</w:t>
      </w:r>
    </w:p>
    <w:p>
      <w:pPr>
        <w:spacing w:after="0" w:line="177" w:lineRule="exact"/>
        <w:rPr>
          <w:sz w:val="20"/>
          <w:szCs w:val="20"/>
          <w:color w:val="auto"/>
        </w:rPr>
      </w:pPr>
    </w:p>
    <w:p>
      <w:pPr>
        <w:ind w:right="200" w:firstLine="480"/>
        <w:spacing w:after="0" w:line="248" w:lineRule="auto"/>
        <w:rPr>
          <w:sz w:val="20"/>
          <w:szCs w:val="20"/>
          <w:color w:val="auto"/>
        </w:rPr>
      </w:pPr>
      <w:r>
        <w:rPr>
          <w:rFonts w:ascii="Times New Roman" w:cs="Times New Roman" w:eastAsia="Times New Roman" w:hAnsi="Times New Roman"/>
          <w:sz w:val="20"/>
          <w:szCs w:val="20"/>
          <w:color w:val="auto"/>
        </w:rPr>
        <w:t>Cash provided by financing activities for the year ended December 31, 2025 was $34.2 million, which consisted of net proceeds of $27.5 million from the issuance of common stock and warrants through the underwritten offering under the Shelf Registration Statement, net proceeds of $6.5 million from the issuance and sale of shares of common stock under the ATM Offering and proceeds from issuance of common stock pursuant to our employee stock purchase plan of $0.2 million.</w:t>
      </w:r>
    </w:p>
    <w:p>
      <w:pPr>
        <w:spacing w:after="0" w:line="172" w:lineRule="exact"/>
        <w:rPr>
          <w:sz w:val="20"/>
          <w:szCs w:val="20"/>
          <w:color w:val="auto"/>
        </w:rPr>
      </w:pPr>
    </w:p>
    <w:p>
      <w:pPr>
        <w:ind w:firstLine="480"/>
        <w:spacing w:after="0" w:line="265" w:lineRule="auto"/>
        <w:rPr>
          <w:sz w:val="20"/>
          <w:szCs w:val="20"/>
          <w:color w:val="auto"/>
        </w:rPr>
      </w:pPr>
      <w:r>
        <w:rPr>
          <w:rFonts w:ascii="Times New Roman" w:cs="Times New Roman" w:eastAsia="Times New Roman" w:hAnsi="Times New Roman"/>
          <w:sz w:val="19"/>
          <w:szCs w:val="19"/>
          <w:color w:val="auto"/>
        </w:rPr>
        <w:t>Cash provided by financing activities for the year ended December 31, 2024 was $47.9 million, which consisted primarily of net proceeds from the issuance and sale of shares of common stock in an underwritten public offering of $47.2 million, cash received from the exercise of stock options of $0.3 million and cash received from the issuance of common stock in connection with purchases under our employee stock purchase plan of $0.4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177" w:lineRule="exact"/>
        <w:rPr>
          <w:sz w:val="20"/>
          <w:szCs w:val="20"/>
          <w:color w:val="auto"/>
        </w:rPr>
      </w:pPr>
    </w:p>
    <w:p>
      <w:pPr>
        <w:ind w:right="280" w:firstLine="480"/>
        <w:spacing w:after="0" w:line="243" w:lineRule="auto"/>
        <w:rPr>
          <w:sz w:val="20"/>
          <w:szCs w:val="20"/>
          <w:color w:val="auto"/>
        </w:rPr>
      </w:pPr>
      <w:r>
        <w:rPr>
          <w:rFonts w:ascii="Times New Roman" w:cs="Times New Roman" w:eastAsia="Times New Roman" w:hAnsi="Times New Roman"/>
          <w:sz w:val="20"/>
          <w:szCs w:val="20"/>
          <w:color w:val="auto"/>
        </w:rPr>
        <w:t>Our critical accounting policies are disclosed in Note 2 of the notes to the consolidated financial statements included in Part II, Item 8 of this Annual Report on Form 10-K.</w:t>
      </w:r>
    </w:p>
    <w:p>
      <w:pPr>
        <w:spacing w:after="0" w:line="174"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3" w:lineRule="exact"/>
        <w:rPr>
          <w:sz w:val="20"/>
          <w:szCs w:val="20"/>
          <w:color w:val="auto"/>
        </w:rPr>
      </w:pPr>
    </w:p>
    <w:p>
      <w:pPr>
        <w:jc w:val="both"/>
        <w:ind w:right="100" w:firstLine="480"/>
        <w:spacing w:after="0" w:line="248"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Note 2 to our consolidated financial statements included in Part II, Item 8 of this Annual Report on Form 10-K, we believe that the following accounting policies are those most critical to the judgments and estimates used in the preparation of our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 to Purchase Common Stock</w:t>
      </w:r>
    </w:p>
    <w:p>
      <w:pPr>
        <w:spacing w:after="0" w:line="177"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9"/>
          <w:szCs w:val="19"/>
          <w:color w:val="auto"/>
        </w:rPr>
        <w:t>We account for issued warrants as either equity-classified or liability-classified instruments based on an assessment of the warrant’s specific terms and applicable authoritative guidance included in Accounting Standards Codification (“ASC”) Topic 480, Distinguishing Liabilities from Equity (“ASC 480”), and ASC Topic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which requires the use of professional judgment, is conducted at the time of warrant issuance and as of each subsequent reporting period end date while the warrants are outstanding. Warrants that meet all of the criteria for equity classification are required to be recorded as a component of additional paid-in capital at the time of issuance, or when the conditions for equity classification are met and are not subsequently remeasured. Warrants that do not meet</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360"/>
          </w:cols>
          <w:pgMar w:left="1440" w:top="948" w:right="1440" w:bottom="348" w:gutter="0" w:footer="0" w:header="0"/>
          <w:type w:val="continuous"/>
        </w:sectPr>
      </w:pPr>
    </w:p>
    <w:bookmarkStart w:id="107" w:name="page108"/>
    <w:bookmarkEnd w:id="107"/>
    <w:p>
      <w:pPr>
        <w:jc w:val="both"/>
        <w:ind w:right="180"/>
        <w:spacing w:after="0" w:line="246" w:lineRule="auto"/>
        <w:rPr>
          <w:sz w:val="20"/>
          <w:szCs w:val="20"/>
          <w:color w:val="auto"/>
        </w:rPr>
      </w:pPr>
      <w:r>
        <w:rPr>
          <w:rFonts w:ascii="Times New Roman" w:cs="Times New Roman" w:eastAsia="Times New Roman" w:hAnsi="Times New Roman"/>
          <w:sz w:val="20"/>
          <w:szCs w:val="20"/>
          <w:color w:val="auto"/>
        </w:rPr>
        <w:t>the required criteria for equity classification are classified as liabilities at fair value. The warrants are subsequently remeasured at each reporting date with changes in fair value recorded in the consolidated statements of operations and comprehensive loss until exercise or expiration.</w:t>
      </w:r>
    </w:p>
    <w:p>
      <w:pPr>
        <w:spacing w:after="0" w:line="173"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We use the Black-Scholes pricing model to determine the fair value of warrant liability. Inputs used to determine estimated fair value of the warrant liability include the fair value of the underlying stock at the valuation date, the term of the warrants, and the expected volatility of the underlying stock. The significant unobservable input used in the fair value measurement of the warrant liability is the estimated term of the warrants. The estimates of fair value are uncertain and changes in any of the estimated inputs used as of the date of this report could have resulted in significant adjustments to the fair value. We recorded a change in fair value of warrant liability of $8.5 million for the year ended December 31,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17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We have entered into various agreements with outsourced vendors, including CROs and CMOs. Research and development expenses are recognized as services are performed and as costs occur. We make significant judgments and estimates in determining the accrual balance in each reporting period. As actual costs become known, we adjust our accruals. Although we do not expect our estimates to be materially different than the actual amounts incurred, such estimates for the status and timing of services performed relative to the actual status and timing of services performed may vary and could result in us reporting amounts that are too high or too low in any one period. Our accrual is dependent, in part, upon the receipt of timely and accurate reporting from CROs, CMOs, and other third-party vendors. Variations in the assumptions used to estimate accruals including, but not limited to, the number of patients enrolled, the rate of patient enrollment and the actual services performed, may vary from our estimates, resulting in adjustments to clinical trial expenses in future periods. Payments made under these arrangements in advance of the performance of the related services are recorded as prepaid expenses and other current assets until the services are rendered. To date, there have been no material differences between estimates of such expenses and the amounts actually incurred.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77" w:lineRule="exact"/>
        <w:rPr>
          <w:sz w:val="20"/>
          <w:szCs w:val="20"/>
          <w:color w:val="auto"/>
        </w:rPr>
      </w:pPr>
    </w:p>
    <w:p>
      <w:pPr>
        <w:ind w:right="200" w:firstLine="480"/>
        <w:spacing w:after="0" w:line="248" w:lineRule="auto"/>
        <w:rPr>
          <w:sz w:val="20"/>
          <w:szCs w:val="20"/>
          <w:color w:val="auto"/>
        </w:rPr>
      </w:pPr>
      <w:r>
        <w:rPr>
          <w:rFonts w:ascii="Times New Roman" w:cs="Times New Roman" w:eastAsia="Times New Roman" w:hAnsi="Times New Roman"/>
          <w:sz w:val="20"/>
          <w:szCs w:val="20"/>
          <w:color w:val="auto"/>
        </w:rPr>
        <w:t>We measure stock-based awards made to employees and non-employees based on the estimated fair values of the awards as of the grant dates using the Black-Scholes option-pricing model. The model requires management to make a number of assumptions including common stock fair value, expected volatility, expected term, risk-free interest rate and expected dividend yield.</w:t>
      </w:r>
    </w:p>
    <w:p>
      <w:pPr>
        <w:spacing w:after="0" w:line="169" w:lineRule="exact"/>
        <w:rPr>
          <w:sz w:val="20"/>
          <w:szCs w:val="20"/>
          <w:color w:val="auto"/>
        </w:rPr>
      </w:pPr>
    </w:p>
    <w:p>
      <w:pPr>
        <w:ind w:right="520" w:firstLine="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Expected Volatility </w:t>
      </w:r>
      <w:r>
        <w:rPr>
          <w:rFonts w:ascii="Times New Roman" w:cs="Times New Roman" w:eastAsia="Times New Roman" w:hAnsi="Times New Roman"/>
          <w:sz w:val="20"/>
          <w:szCs w:val="20"/>
          <w:color w:val="auto"/>
        </w:rPr>
        <w:t>— Expected volatility is estimated by studying the volatility of the prices of shares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 stock of comparable public companies for similar terms.</w:t>
      </w:r>
    </w:p>
    <w:p>
      <w:pPr>
        <w:spacing w:after="0" w:line="174" w:lineRule="exact"/>
        <w:rPr>
          <w:sz w:val="20"/>
          <w:szCs w:val="20"/>
          <w:color w:val="auto"/>
        </w:rPr>
      </w:pPr>
    </w:p>
    <w:p>
      <w:pPr>
        <w:ind w:right="760" w:firstLine="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Expected Term </w:t>
      </w:r>
      <w:r>
        <w:rPr>
          <w:rFonts w:ascii="Times New Roman" w:cs="Times New Roman" w:eastAsia="Times New Roman" w:hAnsi="Times New Roman"/>
          <w:sz w:val="20"/>
          <w:szCs w:val="20"/>
          <w:color w:val="auto"/>
        </w:rPr>
        <w:t>— Expected term represents the period that our stock-based awards are expected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and is determined using the simplified method.</w:t>
      </w:r>
    </w:p>
    <w:p>
      <w:pPr>
        <w:spacing w:after="0" w:line="174" w:lineRule="exact"/>
        <w:rPr>
          <w:sz w:val="20"/>
          <w:szCs w:val="20"/>
          <w:color w:val="auto"/>
        </w:rPr>
      </w:pPr>
    </w:p>
    <w:p>
      <w:pPr>
        <w:ind w:right="40" w:firstLine="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 The risk-free interest rate is based on the U.S. Treasury zero-coupon issued in effect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at the time of grant for periods corresponding with the expected term of the option.</w:t>
      </w:r>
    </w:p>
    <w:p>
      <w:pPr>
        <w:spacing w:after="0" w:line="174" w:lineRule="exact"/>
        <w:rPr>
          <w:sz w:val="20"/>
          <w:szCs w:val="20"/>
          <w:color w:val="auto"/>
        </w:rPr>
      </w:pPr>
    </w:p>
    <w:p>
      <w:pPr>
        <w:ind w:right="440" w:firstLine="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Expected Dividend </w:t>
      </w:r>
      <w:r>
        <w:rPr>
          <w:rFonts w:ascii="Times New Roman" w:cs="Times New Roman" w:eastAsia="Times New Roman" w:hAnsi="Times New Roman"/>
          <w:sz w:val="20"/>
          <w:szCs w:val="20"/>
          <w:color w:val="auto"/>
        </w:rPr>
        <w:t>— The Black-Scholes valuation model calls for a single expected dividend yield as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input. To date, we have not declared or paid any dividends.</w:t>
      </w:r>
    </w:p>
    <w:p>
      <w:pPr>
        <w:spacing w:after="0" w:line="174" w:lineRule="exact"/>
        <w:rPr>
          <w:sz w:val="20"/>
          <w:szCs w:val="20"/>
          <w:color w:val="auto"/>
        </w:rPr>
      </w:pPr>
    </w:p>
    <w:p>
      <w:pPr>
        <w:ind w:right="420" w:firstLine="480"/>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Common Stock Fair Value </w:t>
      </w:r>
      <w:r>
        <w:rPr>
          <w:rFonts w:ascii="Times New Roman" w:cs="Times New Roman" w:eastAsia="Times New Roman" w:hAnsi="Times New Roman"/>
          <w:sz w:val="20"/>
          <w:szCs w:val="20"/>
          <w:color w:val="auto"/>
        </w:rPr>
        <w:t>— We estimate the fair value of our common stock based on the closing quoted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 price of our common stock as reported on the Nasdaq Capital Market.</w:t>
      </w:r>
    </w:p>
    <w:p>
      <w:pPr>
        <w:spacing w:after="0" w:line="174" w:lineRule="exact"/>
        <w:rPr>
          <w:sz w:val="20"/>
          <w:szCs w:val="20"/>
          <w:color w:val="auto"/>
        </w:rPr>
      </w:pPr>
    </w:p>
    <w:p>
      <w:pPr>
        <w:ind w:right="180" w:firstLine="480"/>
        <w:spacing w:after="0" w:line="263" w:lineRule="auto"/>
        <w:rPr>
          <w:sz w:val="20"/>
          <w:szCs w:val="20"/>
          <w:color w:val="auto"/>
        </w:rPr>
      </w:pPr>
      <w:r>
        <w:rPr>
          <w:rFonts w:ascii="Times New Roman" w:cs="Times New Roman" w:eastAsia="Times New Roman" w:hAnsi="Times New Roman"/>
          <w:sz w:val="19"/>
          <w:szCs w:val="19"/>
          <w:color w:val="auto"/>
        </w:rPr>
        <w:t>We recorded stock-based compensation expense of $6.7 million and $6.6 million for the years ended December 31, 2025 and 2024, respectively. As of December 31, 2025, there was $9.1 million of total unrecognized compensation expense, which we expect to recognize over a remaining weighted-average period of 2.50 years.</w:t>
      </w:r>
    </w:p>
    <w:p>
      <w:pPr>
        <w:spacing w:after="0" w:line="2" w:lineRule="exact"/>
        <w:rPr>
          <w:sz w:val="20"/>
          <w:szCs w:val="20"/>
          <w:color w:val="auto"/>
        </w:rPr>
      </w:pPr>
    </w:p>
    <w:p>
      <w:pPr>
        <w:ind w:right="560"/>
        <w:spacing w:after="0" w:line="243" w:lineRule="auto"/>
        <w:rPr>
          <w:sz w:val="20"/>
          <w:szCs w:val="20"/>
          <w:color w:val="auto"/>
        </w:rPr>
      </w:pPr>
      <w:r>
        <w:rPr>
          <w:rFonts w:ascii="Times New Roman" w:cs="Times New Roman" w:eastAsia="Times New Roman" w:hAnsi="Times New Roman"/>
          <w:sz w:val="20"/>
          <w:szCs w:val="20"/>
          <w:color w:val="auto"/>
        </w:rPr>
        <w:t>We expect to continue to grant equity-based awards in the future, and to the extent that we do, our stock-based compensation expense recognized in future periods will likely increase.</w:t>
      </w:r>
    </w:p>
    <w:p>
      <w:pPr>
        <w:sectPr>
          <w:pgSz w:w="12240" w:h="15840" w:orient="portrait"/>
          <w:cols w:equalWidth="0" w:num="1">
            <w:col w:w="9360"/>
          </w:cols>
          <w:pgMar w:left="1440" w:top="948"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360"/>
          </w:cols>
          <w:pgMar w:left="1440" w:top="948" w:right="1440" w:bottom="348"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77" w:lineRule="exact"/>
        <w:rPr>
          <w:sz w:val="20"/>
          <w:szCs w:val="20"/>
          <w:color w:val="auto"/>
        </w:rPr>
      </w:pPr>
    </w:p>
    <w:p>
      <w:pPr>
        <w:ind w:right="640" w:firstLine="480"/>
        <w:spacing w:after="0" w:line="243" w:lineRule="auto"/>
        <w:rPr>
          <w:sz w:val="20"/>
          <w:szCs w:val="20"/>
          <w:color w:val="auto"/>
        </w:rPr>
      </w:pPr>
      <w:r>
        <w:rPr>
          <w:rFonts w:ascii="Times New Roman" w:cs="Times New Roman" w:eastAsia="Times New Roman" w:hAnsi="Times New Roman"/>
          <w:sz w:val="20"/>
          <w:szCs w:val="20"/>
          <w:color w:val="auto"/>
        </w:rPr>
        <w:t>See Note 2 to the consolidated financial statements included in Part II, Item 8 of this Annual Report on Form 10-K for more information regarding recently issued accounting pronouncements.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Smaller Reporting Company Status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Previously, we were an emerging growth company as defined by the Jumpstart Our Business Startups</w:t>
      </w:r>
    </w:p>
    <w:p>
      <w:pPr>
        <w:spacing w:after="0" w:line="17"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Act of 2012 (the “JOBS Act”). The JOBS Act exempts emerging growth companies from being required to comply with new or revised financial accounting standards until private companies (that is, those that have not had a</w:t>
      </w:r>
    </w:p>
    <w:p>
      <w:pPr>
        <w:spacing w:after="0" w:line="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U.S. Securities Act of 1933, as amended,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As of December 31, 2024, we ceased to be an emerging growth company.</w:t>
      </w:r>
    </w:p>
    <w:p>
      <w:pPr>
        <w:spacing w:after="0" w:line="168" w:lineRule="exact"/>
        <w:rPr>
          <w:sz w:val="20"/>
          <w:szCs w:val="20"/>
          <w:color w:val="auto"/>
        </w:rPr>
      </w:pPr>
    </w:p>
    <w:p>
      <w:pPr>
        <w:ind w:right="220" w:firstLine="480"/>
        <w:spacing w:after="0" w:line="249" w:lineRule="auto"/>
        <w:rPr>
          <w:sz w:val="20"/>
          <w:szCs w:val="20"/>
          <w:color w:val="auto"/>
        </w:rPr>
      </w:pPr>
      <w:r>
        <w:rPr>
          <w:rFonts w:ascii="Times New Roman" w:cs="Times New Roman" w:eastAsia="Times New Roman" w:hAnsi="Times New Roman"/>
          <w:sz w:val="20"/>
          <w:szCs w:val="20"/>
          <w:color w:val="auto"/>
        </w:rPr>
        <w:t>We are now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77" w:lineRule="exact"/>
        <w:rPr>
          <w:sz w:val="20"/>
          <w:szCs w:val="20"/>
          <w:color w:val="auto"/>
        </w:rPr>
      </w:pPr>
    </w:p>
    <w:p>
      <w:pPr>
        <w:ind w:right="420" w:firstLine="480"/>
        <w:spacing w:after="0" w:line="249" w:lineRule="auto"/>
        <w:rPr>
          <w:sz w:val="20"/>
          <w:szCs w:val="20"/>
          <w:color w:val="auto"/>
        </w:rPr>
      </w:pPr>
      <w:r>
        <w:rPr>
          <w:rFonts w:ascii="Times New Roman" w:cs="Times New Roman" w:eastAsia="Times New Roman" w:hAnsi="Times New Roman"/>
          <w:sz w:val="20"/>
          <w:szCs w:val="20"/>
          <w:color w:val="auto"/>
        </w:rPr>
        <w:t>We had cash and cash equivalents of $28.7 million as of December 31, 2025, which consisted of checking account and money market funds. Historical fluctuations in interest rates have not been significant for us, and we believe a hypothetical 10% change in interest rates during any of the periods presented would not have had a material effect on our consolidated financial statements included in Part II, Item 8 of this Annual Report on Form 10-K. We had no outstanding debt as of December 31, 2025. To minimize risk in the future, we intend to maintain our portfolio of cash equivalents in institutional market funds that are composed of U.S. Treasury and U.S. Treasury-backed repurchase agreements or short-term U.S. Treasury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All of our employees are currently located in the United States; however, we do utilize certain vendors outside of the United States for our manufacturing of drug substances and clinical supplies. As such, our expenses are denominated in both U.S. dollars and foreign currencies. Therefore, our operations are and will continue to be subject to fluctuations in foreign currency exchange rates. To date, foreign currency transaction gains and losses have not been material to our consolidated financial statements, and we have not had a formal hedging program with respect to foreign currency. We believe a hypothetical 10% change in exchange rates during any of the periods presented would not have a material effect on our consolidated financial statements included in Part II, Item 8 of this Annual Report on Form 10-K.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Effects of Inflation</w:t>
      </w:r>
    </w:p>
    <w:p>
      <w:pPr>
        <w:spacing w:after="0" w:line="177" w:lineRule="exact"/>
        <w:rPr>
          <w:sz w:val="20"/>
          <w:szCs w:val="20"/>
          <w:color w:val="auto"/>
        </w:rPr>
      </w:pPr>
    </w:p>
    <w:p>
      <w:pPr>
        <w:jc w:val="both"/>
        <w:ind w:firstLine="480"/>
        <w:spacing w:after="0" w:line="246" w:lineRule="auto"/>
        <w:rPr>
          <w:sz w:val="20"/>
          <w:szCs w:val="20"/>
          <w:color w:val="auto"/>
        </w:rPr>
      </w:pPr>
      <w:r>
        <w:rPr>
          <w:rFonts w:ascii="Times New Roman" w:cs="Times New Roman" w:eastAsia="Times New Roman" w:hAnsi="Times New Roman"/>
          <w:sz w:val="20"/>
          <w:szCs w:val="20"/>
          <w:color w:val="auto"/>
        </w:rPr>
        <w:t>Inflation generally affects us by increasing our cost of labor and in the future our clinical trial costs. We believe that inflation has not had a material effect on our consolidated financial statements included in Part II, Item 8 of this Annual Report on Form 10-K.</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360"/>
          </w:cols>
          <w:pgMar w:left="1440" w:top="941" w:right="1440" w:bottom="348" w:gutter="0" w:footer="0" w:header="0"/>
          <w:type w:val="continuous"/>
        </w:sectPr>
      </w:pPr>
    </w:p>
    <w:bookmarkStart w:id="109" w:name="page110"/>
    <w:bookmarkEnd w:id="109"/>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THE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48"/>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Audited Consolidated Financial Statements</w:t>
            </w:r>
          </w:p>
        </w:tc>
        <w:tc>
          <w:tcPr>
            <w:tcW w:w="780" w:type="dxa"/>
            <w:vAlign w:val="bottom"/>
          </w:tcPr>
          <w:p>
            <w:pPr>
              <w:spacing w:after="0"/>
              <w:rPr>
                <w:sz w:val="21"/>
                <w:szCs w:val="21"/>
                <w:color w:val="auto"/>
              </w:rPr>
            </w:pPr>
          </w:p>
        </w:tc>
      </w:tr>
      <w:tr>
        <w:trPr>
          <w:trHeight w:val="26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 . . . . . . . . .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F-2</w:t>
            </w:r>
          </w:p>
        </w:tc>
      </w:tr>
      <w:tr>
        <w:trPr>
          <w:trHeight w:val="26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 . . . . . . . . . . . . . . . . . . . . . . . . . . . . . . . . . . . . . . . . . . . . . .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F-4</w:t>
            </w:r>
          </w:p>
        </w:tc>
      </w:tr>
      <w:tr>
        <w:trPr>
          <w:trHeight w:val="26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 . . . . . . . . . . . . . . . . . .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F-5</w:t>
            </w:r>
          </w:p>
        </w:tc>
      </w:tr>
      <w:tr>
        <w:trPr>
          <w:trHeight w:val="26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 . . . . . . . . . . . . . . . . . . . . . . . . . . . . . . .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F-6</w:t>
            </w:r>
          </w:p>
        </w:tc>
      </w:tr>
      <w:tr>
        <w:trPr>
          <w:trHeight w:val="26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 . . . . . . . . . . . . . . . . . . . . . . . . . . . . . . . . . . . . . .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F-7</w:t>
            </w:r>
          </w:p>
        </w:tc>
      </w:tr>
      <w:tr>
        <w:trPr>
          <w:trHeight w:val="260"/>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 . . . . . . . . . . . . . . . . . . . . . . . . . . . . . . . . . . . . . . . . . . . . . . . .</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F-8</w:t>
            </w: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941" w:right="1440" w:bottom="348" w:gutter="0" w:footer="0" w:header="0"/>
          <w:type w:val="continuous"/>
        </w:sectPr>
      </w:pPr>
    </w:p>
    <w:bookmarkStart w:id="110" w:name="page111"/>
    <w:bookmarkEnd w:id="110"/>
    <w:p>
      <w:pPr>
        <w:ind w:left="21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Jasper Therapeutics, Inc.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17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Jasper Therapeutics, Inc. and its subsidiary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Substantial Doubt About the Company’s Ability to Continue as a Going Concern</w:t>
      </w:r>
    </w:p>
    <w:p>
      <w:pPr>
        <w:spacing w:after="0" w:line="177"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2 to the consolidated financial statements, the Company has incurred significant losses and negative cash flows from operations since its inception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77"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77" w:lineRule="exact"/>
        <w:rPr>
          <w:sz w:val="20"/>
          <w:szCs w:val="20"/>
          <w:color w:val="auto"/>
        </w:rPr>
      </w:pPr>
    </w:p>
    <w:p>
      <w:pPr>
        <w:ind w:right="300" w:firstLine="480"/>
        <w:spacing w:after="0" w:line="24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3" w:lineRule="exact"/>
        <w:rPr>
          <w:sz w:val="20"/>
          <w:szCs w:val="20"/>
          <w:color w:val="auto"/>
        </w:rPr>
      </w:pPr>
    </w:p>
    <w:p>
      <w:pPr>
        <w:ind w:right="100"/>
        <w:spacing w:after="0" w:line="248" w:lineRule="auto"/>
        <w:tabs>
          <w:tab w:leader="none" w:pos="29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360"/>
          </w:cols>
          <w:pgMar w:left="1440" w:top="941" w:right="1440" w:bottom="348"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i w:val="1"/>
          <w:iCs w:val="1"/>
          <w:color w:val="auto"/>
        </w:rPr>
        <w:t>Certain Research and Development Expenses</w:t>
      </w:r>
    </w:p>
    <w:p>
      <w:pPr>
        <w:spacing w:after="0" w:line="177"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As described in Note 2 to the consolidated financial statements, research and development expenses are charged to expense when incurred. As disclosed by management, research and development costs include program costs, including costs incurred under agreements with third-party contract research organizations (CROs), contract manufacturing organizations (CMOs) and other third parties. The Company’s research and development expense for the year ended December 31, 2025 was $63.1 million, a majority of which relates to certain research and development expenses.</w:t>
      </w:r>
    </w:p>
    <w:p>
      <w:pPr>
        <w:spacing w:after="0" w:line="168" w:lineRule="exact"/>
        <w:rPr>
          <w:sz w:val="20"/>
          <w:szCs w:val="20"/>
          <w:color w:val="auto"/>
        </w:rPr>
      </w:pPr>
    </w:p>
    <w:p>
      <w:pPr>
        <w:jc w:val="both"/>
        <w:ind w:right="100" w:firstLine="480"/>
        <w:spacing w:after="0" w:line="246" w:lineRule="auto"/>
        <w:rPr>
          <w:sz w:val="20"/>
          <w:szCs w:val="20"/>
          <w:color w:val="auto"/>
        </w:rPr>
      </w:pPr>
      <w:r>
        <w:rPr>
          <w:rFonts w:ascii="Times New Roman" w:cs="Times New Roman" w:eastAsia="Times New Roman" w:hAnsi="Times New Roman"/>
          <w:sz w:val="20"/>
          <w:szCs w:val="20"/>
          <w:color w:val="auto"/>
        </w:rPr>
        <w:t>The principal consideration for our determination that performing procedures relating to certain research and development expenses is a critical audit matter is a high degree of auditor effort in performing procedures related to certain of the Company’s research and development expenses.</w:t>
      </w:r>
    </w:p>
    <w:p>
      <w:pPr>
        <w:spacing w:after="0" w:line="173"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among others, testing certain research and development expenses on a sample basis by obtaining and inspecting source documents, such as the underlying third-party agreements and invoices received.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30,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2021.</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360"/>
          </w:cols>
          <w:pgMar w:left="1440" w:top="941" w:right="1440" w:bottom="348"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Cash and cash equivalents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28,692</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5,953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current assets . . . . . . . . . . . . . . . . . . . . . . . . . . . . . . . . . . . . . . . . . . .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34,645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Property and equipment, net . . . . . . . . . . . . . . . . . . . . . . . . . . . . . . . . . . . . . . . . .</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Operating lease right-of-use assets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Restricted cash . . . .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Other non-current assets .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assets . . . . . . .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35,779</w:t>
            </w:r>
          </w:p>
        </w:tc>
        <w:tc>
          <w:tcPr>
            <w:tcW w:w="12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6,220</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Current portion of operating lease liabilities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Accrued expenses and other current liabilities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5,745</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current liabilities . . . . . . . . . . . . . . . . . . . . . . . . . . . . . . . . . . . . . . . .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Non-current portion of operating lease liabilities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Warrant liability . . . . . . . . .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16,164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non-current liabilities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liabilities. . . . . . . . . . . . . . . . . . . . . . . . . . . . . . . . . . . . . . . . . . . . . . . .</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31,628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Preferred stock: $0.0001 par value – 10,000,000 shares authorized</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at December 31, 2025 and 2024; none issued and outstanding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December 31, 2025 and 2024 . . . . . . . . . . . . . . . . . . . . . . . . . . . . . . . . . . . .</w:t>
            </w:r>
          </w:p>
        </w:tc>
        <w:tc>
          <w:tcPr>
            <w:tcW w:w="280" w:type="dxa"/>
            <w:vAlign w:val="bottom"/>
          </w:tcPr>
          <w:p>
            <w:pPr>
              <w:spacing w:after="0"/>
              <w:rPr>
                <w:sz w:val="19"/>
                <w:szCs w:val="19"/>
                <w:color w:val="auto"/>
              </w:rPr>
            </w:pPr>
          </w:p>
        </w:tc>
        <w:tc>
          <w:tcPr>
            <w:tcW w:w="110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5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Common stock: $0.0001 par value – 492,000,000 shares authorized at</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December 31, 2025 and 2024; 27,996,819 and 15,022,122 shares issued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and outstanding at December 31, 2025 and 2024, respectively . . . . . . . . . .</w:t>
            </w: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Additional paid-in capital . . . . . . . . . . . . . . . . . . . . . . . . . . . . . . . . . . . . . . . . .</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320,818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302,541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Accumulated deficit . . . . . . . . . . . . . . . . . . . . . . . . . . . . . . . . . . . . . . . . . . . . .</w:t>
            </w: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(316,670)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(240,869)</w:t>
            </w: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stockholders’ equity . . . . . . . . . . . . . . . . . . . . . . . . . . . . . . . . . . . . . . .</w:t>
            </w: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61,674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liabilities and stockholders’ equity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35,779</w:t>
            </w:r>
          </w:p>
        </w:tc>
        <w:tc>
          <w:tcPr>
            <w:tcW w:w="12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360"/>
          </w:cols>
          <w:pgMar w:left="1440" w:top="941" w:right="1440" w:bottom="348" w:gutter="0" w:footer="0" w:header="0"/>
          <w:type w:val="continuous"/>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6"/>
          </w:tcPr>
          <w:p>
            <w:pPr>
              <w:jc w:val="right"/>
              <w:ind w:right="88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63,104</w:t>
            </w:r>
          </w:p>
        </w:tc>
        <w:tc>
          <w:tcPr>
            <w:tcW w:w="120" w:type="dxa"/>
            <w:vAlign w:val="bottom"/>
          </w:tcPr>
          <w:p>
            <w:pPr>
              <w:spacing w:after="0"/>
              <w:rPr>
                <w:sz w:val="22"/>
                <w:szCs w:val="22"/>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General and administrative . . . . . . . . . . . . . . . . . . . . . . . . . . . . . . . . . . . . . . . .</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20,779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20,418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operating expenses . . . . . . . . . . . . . . . . . . . . . . . . . . . . . . . . . . . . . . . .</w:t>
            </w: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83,883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Loss from operations . . . . . . . . . . . . . . . . . . . . . . . . . . . . . . . . . . . . . . . . . . . . . . .</w:t>
            </w:r>
          </w:p>
        </w:tc>
        <w:tc>
          <w:tcPr>
            <w:tcW w:w="2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(83,883)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(76,239)</w:t>
            </w: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Change in fair value of warrant liability . . . . . . . . . . . . . . . . . . . . . . . . . . . . . .</w:t>
            </w: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Other expense, net . . . . . . . . . . . . . . . . . . . . . . . . . . . . . . . . . . . . . . . . . . . . . . .</w:t>
            </w:r>
          </w:p>
        </w:tc>
        <w:tc>
          <w:tcPr>
            <w:tcW w:w="2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(2,187)</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other income, net . . . . . . . . . . . . . . . . . . . . . . . . . . . . . . . . . . . . . . . . .</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Net loss and comprehensive loss . . . . . . . . . . . . . . . . . . .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(75,801)</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(71,269)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540" w:type="dxa"/>
            <w:vAlign w:val="bottom"/>
          </w:tcPr>
          <w:p>
            <w:pPr>
              <w:jc w:val="right"/>
              <w:ind w:right="80"/>
              <w:spacing w:after="0" w:line="199" w:lineRule="exact"/>
              <w:rPr>
                <w:sz w:val="20"/>
                <w:szCs w:val="20"/>
                <w:color w:val="auto"/>
              </w:rPr>
            </w:pPr>
            <w:r>
              <w:rPr>
                <w:rFonts w:ascii="Times New Roman" w:cs="Times New Roman" w:eastAsia="Times New Roman" w:hAnsi="Times New Roman"/>
                <w:sz w:val="20"/>
                <w:szCs w:val="20"/>
                <w:color w:val="auto"/>
                <w:w w:val="99"/>
              </w:rPr>
              <w:t>Net loss per share attributable to common stockholders, basic and diluted . . . . .</w:t>
            </w:r>
          </w:p>
        </w:tc>
        <w:tc>
          <w:tcPr>
            <w:tcW w:w="240" w:type="dxa"/>
            <w:vAlign w:val="bottom"/>
          </w:tcPr>
          <w:p>
            <w:pPr>
              <w:jc w:val="right"/>
              <w:ind w:right="4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20"/>
                <w:szCs w:val="20"/>
                <w:color w:val="auto"/>
              </w:rPr>
              <w:t>(3.95)</w:t>
            </w:r>
          </w:p>
        </w:tc>
        <w:tc>
          <w:tcPr>
            <w:tcW w:w="420" w:type="dxa"/>
            <w:vAlign w:val="bottom"/>
            <w:gridSpan w:val="2"/>
          </w:tcPr>
          <w:p>
            <w:pPr>
              <w:jc w:val="right"/>
              <w:ind w:right="260"/>
              <w:spacing w:after="0" w:line="199"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20"/>
                <w:szCs w:val="20"/>
                <w:color w:val="auto"/>
              </w:rPr>
              <w:t>(4.89)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shares used in computing net loss per share attributable to</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540" w:type="dxa"/>
            <w:vAlign w:val="bottom"/>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rPr>
              <w:t>common stockholders, basic and diluted . . . . . . . . . . . . . . . . . . . . . . . . . . . . .</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19,168,110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7"/>
              </w:rPr>
              <w:t>14,584,870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360"/>
          </w:cols>
          <w:pgMar w:left="1440" w:top="941" w:right="1440" w:bottom="348" w:gutter="0" w:footer="0" w:header="0"/>
          <w:type w:val="continuous"/>
        </w:sectPr>
      </w:pPr>
    </w:p>
    <w:bookmarkStart w:id="114" w:name="page115"/>
    <w:bookmarkEnd w:id="114"/>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280" w:type="dxa"/>
            <w:vAlign w:val="bottom"/>
            <w:gridSpan w:val="5"/>
            <w:vMerge w:val="restart"/>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8"/>
        </w:trPr>
        <w:tc>
          <w:tcPr>
            <w:tcW w:w="3960" w:type="dxa"/>
            <w:vAlign w:val="bottom"/>
          </w:tcPr>
          <w:p>
            <w:pPr>
              <w:spacing w:after="0"/>
              <w:rPr>
                <w:sz w:val="16"/>
                <w:szCs w:val="16"/>
                <w:color w:val="auto"/>
              </w:rPr>
            </w:pPr>
          </w:p>
        </w:tc>
        <w:tc>
          <w:tcPr>
            <w:tcW w:w="2280" w:type="dxa"/>
            <w:vAlign w:val="bottom"/>
            <w:tcBorders>
              <w:bottom w:val="single" w:sz="8" w:color="auto"/>
            </w:tcBorders>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42"/>
              <w:spacing w:after="0" w:line="194" w:lineRule="exact"/>
              <w:rPr>
                <w:sz w:val="20"/>
                <w:szCs w:val="20"/>
                <w:color w:val="auto"/>
              </w:rPr>
            </w:pPr>
            <w:r>
              <w:rPr>
                <w:rFonts w:ascii="Times New Roman" w:cs="Times New Roman" w:eastAsia="Times New Roman" w:hAnsi="Times New Roman"/>
                <w:sz w:val="18"/>
                <w:szCs w:val="18"/>
                <w:b w:val="1"/>
                <w:bCs w:val="1"/>
                <w:color w:val="auto"/>
              </w:rPr>
              <w:t>Paid-In</w:t>
            </w:r>
          </w:p>
        </w:tc>
        <w:tc>
          <w:tcPr>
            <w:tcW w:w="180" w:type="dxa"/>
            <w:vAlign w:val="bottom"/>
          </w:tcPr>
          <w:p>
            <w:pPr>
              <w:spacing w:after="0"/>
              <w:rPr>
                <w:sz w:val="16"/>
                <w:szCs w:val="16"/>
                <w:color w:val="auto"/>
              </w:rPr>
            </w:pPr>
          </w:p>
        </w:tc>
        <w:tc>
          <w:tcPr>
            <w:tcW w:w="1240" w:type="dxa"/>
            <w:vAlign w:val="bottom"/>
            <w:gridSpan w:val="3"/>
          </w:tcPr>
          <w:p>
            <w:pPr>
              <w:jc w:val="right"/>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6"/>
                <w:szCs w:val="16"/>
                <w:color w:val="auto"/>
              </w:rPr>
            </w:pPr>
          </w:p>
        </w:tc>
        <w:tc>
          <w:tcPr>
            <w:tcW w:w="1180" w:type="dxa"/>
            <w:vAlign w:val="bottom"/>
            <w:gridSpan w:val="3"/>
          </w:tcPr>
          <w:p>
            <w:pPr>
              <w:jc w:val="center"/>
              <w:ind w:right="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1080" w:type="dxa"/>
            <w:vAlign w:val="bottom"/>
            <w:tcBorders>
              <w:bottom w:val="single" w:sz="8" w:color="auto"/>
            </w:tcBorders>
          </w:tcPr>
          <w:p>
            <w:pPr>
              <w:jc w:val="right"/>
              <w:ind w:right="181"/>
              <w:spacing w:after="0" w:line="191" w:lineRule="exact"/>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1"/>
              <w:spacing w:after="0" w:line="19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42"/>
              <w:spacing w:after="0" w:line="188"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01"/>
              <w:spacing w:after="0" w:line="188" w:lineRule="exact"/>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1"/>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 xml:space="preserve">Balance as of December 31, 2023 </w:t>
            </w:r>
            <w:r>
              <w:rPr>
                <w:rFonts w:ascii="Times New Roman" w:cs="Times New Roman" w:eastAsia="Times New Roman" w:hAnsi="Times New Roman"/>
                <w:sz w:val="20"/>
                <w:szCs w:val="20"/>
                <w:color w:val="auto"/>
                <w:w w:val="98"/>
              </w:rPr>
              <w:t>.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11,163,896</w:t>
            </w:r>
          </w:p>
        </w:tc>
        <w:tc>
          <w:tcPr>
            <w:tcW w:w="1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248,039</w:t>
            </w:r>
          </w:p>
        </w:tc>
        <w:tc>
          <w:tcPr>
            <w:tcW w:w="380" w:type="dxa"/>
            <w:vAlign w:val="bottom"/>
            <w:gridSpan w:val="2"/>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(169,600)</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upon exercise of</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stock options . . . . . . . . . . . . . . . . . . . . . . .</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33,735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through</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underwritten offering, net of discounts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and commissions and issuance costs of</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$3.3 million . . . . . . . . . . . . . . . . . . . . . . . .</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3,900,000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47,194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47,195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pursuant to</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Employee Stock Purchase Plan . . . . . . . . .</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29,491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360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Forfeiture of shares subject to earnout . . . . .</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(105,000)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Stock-based compensation expense . . . . . .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loss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(71,269)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(71,269)</w:t>
            </w:r>
          </w:p>
        </w:tc>
        <w:tc>
          <w:tcPr>
            <w:tcW w:w="0" w:type="dxa"/>
            <w:vAlign w:val="bottom"/>
          </w:tcPr>
          <w:p>
            <w:pPr>
              <w:spacing w:after="0"/>
              <w:rPr>
                <w:sz w:val="1"/>
                <w:szCs w:val="1"/>
                <w:color w:val="auto"/>
              </w:rPr>
            </w:pPr>
          </w:p>
        </w:tc>
      </w:tr>
      <w:tr>
        <w:trPr>
          <w:trHeight w:val="20"/>
        </w:trPr>
        <w:tc>
          <w:tcPr>
            <w:tcW w:w="396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 xml:space="preserve">Balance as of December 31, 2024 </w:t>
            </w:r>
            <w:r>
              <w:rPr>
                <w:rFonts w:ascii="Times New Roman" w:cs="Times New Roman" w:eastAsia="Times New Roman" w:hAnsi="Times New Roman"/>
                <w:sz w:val="20"/>
                <w:szCs w:val="20"/>
                <w:color w:val="auto"/>
                <w:w w:val="98"/>
              </w:rPr>
              <w:t>. . . . . . . . . .</w:t>
            </w: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960" w:type="dxa"/>
            <w:vAlign w:val="bottom"/>
            <w:vMerge w:val="continue"/>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15,022,122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302,541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(240,869)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and pre-funded</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warrants through underwritten offering,</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net of issuance costs of $0.4 million . . . . .</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11,670,707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4,867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through ATM</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96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line, net of commissions and issuance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costs of $0.3 million . . . . . . . . . . . . . . . . .</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1,231,447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6,454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6,454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for vested</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restricted stock units . . . . . . . . . . . . . . . . .</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12,000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Issuance of common stock pursuant to</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60" w:type="dxa"/>
            <w:vAlign w:val="bottom"/>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Employee Stock Purchase Plan . . . . . . . . .</w:t>
            </w:r>
          </w:p>
        </w:tc>
        <w:tc>
          <w:tcPr>
            <w:tcW w:w="10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60,543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Stock-based compensation expense . . . . . .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9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Net loss . . . . . . . . . . . . . . . . . . . . . . . . . . . .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(75,801)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(75,801)</w:t>
            </w:r>
          </w:p>
        </w:tc>
        <w:tc>
          <w:tcPr>
            <w:tcW w:w="0" w:type="dxa"/>
            <w:vAlign w:val="bottom"/>
          </w:tcPr>
          <w:p>
            <w:pPr>
              <w:spacing w:after="0"/>
              <w:rPr>
                <w:sz w:val="1"/>
                <w:szCs w:val="1"/>
                <w:color w:val="auto"/>
              </w:rPr>
            </w:pPr>
          </w:p>
        </w:tc>
      </w:tr>
      <w:tr>
        <w:trPr>
          <w:trHeight w:val="20"/>
        </w:trPr>
        <w:tc>
          <w:tcPr>
            <w:tcW w:w="396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 xml:space="preserve">Balance as of December 31, 2025 </w:t>
            </w:r>
            <w:r>
              <w:rPr>
                <w:rFonts w:ascii="Times New Roman" w:cs="Times New Roman" w:eastAsia="Times New Roman" w:hAnsi="Times New Roman"/>
                <w:sz w:val="20"/>
                <w:szCs w:val="20"/>
                <w:color w:val="auto"/>
                <w:w w:val="98"/>
              </w:rPr>
              <w:t>. . . . . . . . . .</w:t>
            </w: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960" w:type="dxa"/>
            <w:vAlign w:val="bottom"/>
            <w:vMerge w:val="continue"/>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27,996,819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320,818</w:t>
            </w:r>
          </w:p>
        </w:tc>
        <w:tc>
          <w:tcPr>
            <w:tcW w:w="180" w:type="dxa"/>
            <w:vAlign w:val="bottom"/>
          </w:tcPr>
          <w:p>
            <w:pPr>
              <w:spacing w:after="0"/>
              <w:rPr>
                <w:sz w:val="20"/>
                <w:szCs w:val="20"/>
                <w:color w:val="auto"/>
              </w:rPr>
            </w:pPr>
          </w:p>
        </w:tc>
        <w:tc>
          <w:tcPr>
            <w:tcW w:w="20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(316,670)</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140"/>
          </w:cols>
          <w:pgMar w:left="1020" w:top="941" w:right="108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140"/>
          </w:cols>
          <w:pgMar w:left="1020" w:top="941" w:right="1080" w:bottom="348" w:gutter="0" w:footer="0" w:header="0"/>
          <w:type w:val="continuous"/>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used in operating activities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Net loss . . . . . . . . . . . . .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(75,801)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(71,269)</w:t>
            </w:r>
          </w:p>
        </w:tc>
        <w:tc>
          <w:tcPr>
            <w:tcW w:w="0" w:type="dxa"/>
            <w:vAlign w:val="bottom"/>
          </w:tcPr>
          <w:p>
            <w:pPr>
              <w:spacing w:after="0"/>
              <w:rPr>
                <w:sz w:val="1"/>
                <w:szCs w:val="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Depreciation and amortization expense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Impairment of long-lived assets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Non-cash lease expense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expense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 in fair value of warrant liability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(8,528)</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Offering costs recognized in other expense, net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ind w:right="274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Prepaid expenses and other current assets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(1,779)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(2,123)</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non-current assets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Accounts payable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Accrued expenses and other current liabilities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(4,374)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liability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(1,670)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(973)</w:t>
            </w:r>
          </w:p>
        </w:tc>
        <w:tc>
          <w:tcPr>
            <w:tcW w:w="0" w:type="dxa"/>
            <w:vAlign w:val="bottom"/>
          </w:tcPr>
          <w:p>
            <w:pPr>
              <w:spacing w:after="0"/>
              <w:rPr>
                <w:sz w:val="1"/>
                <w:szCs w:val="1"/>
                <w:color w:val="auto"/>
              </w:rPr>
            </w:pPr>
          </w:p>
        </w:tc>
      </w:tr>
      <w:tr>
        <w:trPr>
          <w:trHeight w:val="20"/>
        </w:trPr>
        <w:tc>
          <w:tcPr>
            <w:tcW w:w="644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Net cash used in operating activities . . . . . . . . . . . . . . . . . . . . . . . . . . .</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440" w:type="dxa"/>
            <w:vAlign w:val="bottom"/>
            <w:vMerge w:val="continue"/>
          </w:tcPr>
          <w:p>
            <w:pPr>
              <w:jc w:val="right"/>
              <w:spacing w:after="0" w:line="192" w:lineRule="exact"/>
              <w:rPr>
                <w:sz w:val="20"/>
                <w:szCs w:val="20"/>
                <w:color w:val="auto"/>
              </w:rPr>
            </w:pPr>
            <w:r>
              <w:rPr>
                <w:rFonts w:ascii="Times New Roman" w:cs="Times New Roman" w:eastAsia="Times New Roman" w:hAnsi="Times New Roman"/>
                <w:sz w:val="20"/>
                <w:szCs w:val="20"/>
                <w:color w:val="auto"/>
              </w:rPr>
              <w:t>.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(77,161)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(62,602)</w:t>
            </w: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provided by (used in) investing activities</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Purchases of property and equipment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(552)</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Proceeds from sales of property and equipment . . . . . . . . . . . . . . .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cash provided by (used in) investing activities . . . . . . . . . . . . . . . . .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0" w:type="dxa"/>
            <w:vAlign w:val="bottom"/>
          </w:tcPr>
          <w:p>
            <w:pPr>
              <w:spacing w:after="0"/>
              <w:rPr>
                <w:sz w:val="1"/>
                <w:szCs w:val="1"/>
                <w:color w:val="auto"/>
              </w:rPr>
            </w:pPr>
          </w:p>
        </w:tc>
      </w:tr>
      <w:tr>
        <w:trPr>
          <w:trHeight w:val="240"/>
        </w:trPr>
        <w:tc>
          <w:tcPr>
            <w:tcW w:w="6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Proceeds from issuance of common stock through ATM offering, net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6,454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issuance of common stock and warrants through underwritten</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offering, net . . . . . . . . . . . . . . . . . . . . . . . . . . . . . . . . . . . . . . . . . . . . . . . . . . .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27,514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47,195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Proceeds from exercise of common stock options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issuance of common stock pursuant to Employee Stock</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Purchase Plan . . . . . . . . . . . . . . . . . . . . . . . . . . . . . . . . . . . . . . . . . . . . . . . . . .</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.Netcashprovidedbyfinancingactivities.......................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decrease in cash, cash equivalents and restricted cash . . . . . . . . . . . . . . . . .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(42,945)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(15,250)</w:t>
            </w:r>
          </w:p>
        </w:tc>
        <w:tc>
          <w:tcPr>
            <w:tcW w:w="0" w:type="dxa"/>
            <w:vAlign w:val="bottom"/>
          </w:tcPr>
          <w:p>
            <w:pPr>
              <w:spacing w:after="0"/>
              <w:rPr>
                <w:sz w:val="1"/>
                <w:szCs w:val="1"/>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Cash, cash equivalents and restricted cash at beginning of the year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72,054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87,304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Cash, cash equivalents and restricted cash at end of the year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29,109</w:t>
            </w:r>
          </w:p>
        </w:tc>
        <w:tc>
          <w:tcPr>
            <w:tcW w:w="12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Supplemental and non-cash items reconciliations:</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Right-of-use asset obtained in exchange for lease liabilities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w:t>
            </w:r>
          </w:p>
        </w:tc>
        <w:tc>
          <w:tcPr>
            <w:tcW w:w="12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Warrant liability recognized in connection with underwritten offering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24,692</w:t>
            </w:r>
          </w:p>
        </w:tc>
        <w:tc>
          <w:tcPr>
            <w:tcW w:w="120" w:type="dxa"/>
            <w:vAlign w:val="bottom"/>
          </w:tcPr>
          <w:p>
            <w:pPr>
              <w:spacing w:after="0"/>
              <w:rPr>
                <w:sz w:val="22"/>
                <w:szCs w:val="22"/>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360"/>
          </w:cols>
          <w:pgMar w:left="1440" w:top="941" w:right="1440" w:bottom="348"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ORGANIZATION AND DESCRIPTION OF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Description of Business</w:t>
      </w:r>
    </w:p>
    <w:p>
      <w:pPr>
        <w:spacing w:after="0" w:line="177"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Jasper Therapeutics, Inc. and its consolidated subsidiary, Jasper Tx Corp. (collectively, “Jasper” or the “Company”), is a clinical-stage biotechnology company focused on developing therapeutics targeting mast cell driven diseases, such as chronic spontaneous urticaria, chronic inducible urticaria and asthma. Briquilimab has been evaluated in clinical studies in chronic spontaneous urticaria, chronic inducible urticaria and allergic asthma. The Company’s clinical development activities are currently focused on chronic urticarias, and while the clinical data generated in allergic asthma supports further development in the broader asthma population, advancing any future clinical studies in asthma would be based on an evaluation of the competitive landscape, the potential for strategic partnerships and capital availability. The Company has also historically explored diseases where targeting diseased hematopoietic stem cells can provide benefits, such as stem cell transplant conditioning regimens, but is currently focused on development of briquilimab in mast cell driven diseases.</w:t>
      </w:r>
    </w:p>
    <w:p>
      <w:pPr>
        <w:spacing w:after="0" w:line="174" w:lineRule="exact"/>
        <w:rPr>
          <w:sz w:val="20"/>
          <w:szCs w:val="20"/>
          <w:color w:val="auto"/>
        </w:rPr>
      </w:pPr>
    </w:p>
    <w:p>
      <w:pPr>
        <w:ind w:right="120" w:firstLine="480"/>
        <w:spacing w:after="0" w:line="246" w:lineRule="auto"/>
        <w:rPr>
          <w:sz w:val="20"/>
          <w:szCs w:val="20"/>
          <w:color w:val="auto"/>
        </w:rPr>
      </w:pPr>
      <w:r>
        <w:rPr>
          <w:rFonts w:ascii="Times New Roman" w:cs="Times New Roman" w:eastAsia="Times New Roman" w:hAnsi="Times New Roman"/>
          <w:sz w:val="20"/>
          <w:szCs w:val="20"/>
          <w:color w:val="auto"/>
        </w:rPr>
        <w:t>The Company is headquartered in Redwood City, California. The Company is a Delaware corporation and was incorporated in March 2018. In September 2021, the Company completed a merger with Amplitude Healthcare Acquisition Corporation and became a public company.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77" w:lineRule="exact"/>
        <w:rPr>
          <w:sz w:val="20"/>
          <w:szCs w:val="20"/>
          <w:color w:val="auto"/>
        </w:rPr>
      </w:pPr>
    </w:p>
    <w:p>
      <w:pPr>
        <w:ind w:right="260" w:firstLine="480"/>
        <w:spacing w:after="0" w:line="246" w:lineRule="auto"/>
        <w:rPr>
          <w:sz w:val="20"/>
          <w:szCs w:val="20"/>
          <w:color w:val="auto"/>
        </w:rPr>
      </w:pPr>
      <w:r>
        <w:rPr>
          <w:rFonts w:ascii="Times New Roman" w:cs="Times New Roman" w:eastAsia="Times New Roman" w:hAnsi="Times New Roman"/>
          <w:sz w:val="20"/>
          <w:szCs w:val="20"/>
          <w:color w:val="auto"/>
        </w:rPr>
        <w:t>The consolidated financial statements and accompanying notes have been prepared in accordance with accounting principles generally accepted in the United States of America (“U.S. GAAP”) and applicable rules and regulations of the U.S. Securities and Exchange Commission (the “SEC”) for financial reporting.</w:t>
      </w:r>
    </w:p>
    <w:p>
      <w:pPr>
        <w:spacing w:after="0" w:line="173" w:lineRule="exact"/>
        <w:rPr>
          <w:sz w:val="20"/>
          <w:szCs w:val="20"/>
          <w:color w:val="auto"/>
        </w:rPr>
      </w:pPr>
    </w:p>
    <w:p>
      <w:pPr>
        <w:ind w:right="260" w:firstLine="480"/>
        <w:spacing w:after="0" w:line="246" w:lineRule="auto"/>
        <w:rPr>
          <w:sz w:val="20"/>
          <w:szCs w:val="20"/>
          <w:color w:val="auto"/>
        </w:rPr>
      </w:pPr>
      <w:r>
        <w:rPr>
          <w:rFonts w:ascii="Times New Roman" w:cs="Times New Roman" w:eastAsia="Times New Roman" w:hAnsi="Times New Roman"/>
          <w:sz w:val="20"/>
          <w:szCs w:val="20"/>
          <w:color w:val="auto"/>
        </w:rPr>
        <w:t>The financial statements are consolidated for the years ended December 31, 2025 and 2024, and include the accounts of Jasper Therapeutics, Inc. and its wholly-owned subsidiary, Jasper Tx Corp, which had no operations during the periods presented.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Going Concern</w:t>
      </w:r>
    </w:p>
    <w:p>
      <w:pPr>
        <w:spacing w:after="0" w:line="177" w:lineRule="exact"/>
        <w:rPr>
          <w:sz w:val="20"/>
          <w:szCs w:val="20"/>
          <w:color w:val="auto"/>
        </w:rPr>
      </w:pPr>
    </w:p>
    <w:p>
      <w:pPr>
        <w:ind w:right="80" w:firstLine="480"/>
        <w:spacing w:after="0" w:line="264" w:lineRule="auto"/>
        <w:rPr>
          <w:sz w:val="20"/>
          <w:szCs w:val="20"/>
          <w:color w:val="auto"/>
        </w:rPr>
      </w:pPr>
      <w:r>
        <w:rPr>
          <w:rFonts w:ascii="Times New Roman" w:cs="Times New Roman" w:eastAsia="Times New Roman" w:hAnsi="Times New Roman"/>
          <w:sz w:val="19"/>
          <w:szCs w:val="19"/>
          <w:color w:val="auto"/>
        </w:rPr>
        <w:t>In accordance with Accounting Standards Codification (“ASC”) Topic 205-40, Going Concern, the Company evaluated whether there are conditions and events, considered in the aggregate, that raise substantial doubt about its ability to continue as a going concern within one year after the date that the consolidated financial statements are issued. This evaluation initially does not take into consideration the potential mitigating effect of the Company’s plans that have not been fully implemented as of the date the financial statements are issued. When substantial doubt exists under this methodology, the Company evaluates whether the mitigating effect of its plans sufficiently alleviates substantial doubt about its ability to continue as a going concern. The mitigating effect of the Company’s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Company’s ability to continue as a going concern within one year after the date that the consolidated financial statements are issued. In performing this analysis, the Company excluded certain elements of its operating plan that cannot be considered probable.</w:t>
      </w:r>
    </w:p>
    <w:p>
      <w:pPr>
        <w:spacing w:after="0" w:line="156"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The Company has incurred significant losses and negative cash flows from operations since its inception. During the years ended December 31, 2025 and 2024, the Company incurred net losses of $75.8 million and $71.3 million, respectively. During the years ended December 31, 2025 and 2024, the Company had negative operating cash flows of $77.2 million and $62.6 million, respectively. As of December 31, 2025, the Company had an accumulated deficit of $316.7 million. The Company expects to continue to incur substantial losses, and its ability to achieve and sustain profitability will depend on the successful development, approval, and commercialization of product candidates and on the achievement of sufficient revenues to support the Company’s cost structure.</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360"/>
          </w:cols>
          <w:pgMar w:left="1440" w:top="941" w:right="1440" w:bottom="348"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140" w:firstLine="480"/>
        <w:spacing w:after="0" w:line="263" w:lineRule="auto"/>
        <w:rPr>
          <w:sz w:val="20"/>
          <w:szCs w:val="20"/>
          <w:color w:val="auto"/>
        </w:rPr>
      </w:pPr>
      <w:r>
        <w:rPr>
          <w:rFonts w:ascii="Times New Roman" w:cs="Times New Roman" w:eastAsia="Times New Roman" w:hAnsi="Times New Roman"/>
          <w:sz w:val="19"/>
          <w:szCs w:val="19"/>
          <w:color w:val="auto"/>
        </w:rPr>
        <w:t>Management expects to finance the Company’s future cash needs through equity or debt financings, collaborations or a combination of these approaches. However, due to several factors, including those outside management’s control, there can be no assurance that the Company will be able to complete additional financings. The Company’s ability to raise additional funds may be adversely impacted by negative global economic conditions and any disruptions to and volatility in the credit and financial markets in the United States and worldwide or other factors. There can be no assurance that the Company will be successful in acquiring additional funding at levels sufficient to fund its operations or on terms favorable or acceptable to the Company. If the Company is unable</w:t>
      </w:r>
    </w:p>
    <w:p>
      <w:pPr>
        <w:spacing w:after="0" w:line="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to obtain adequate financing when needed or on terms favorable or acceptable to it, the Company may be forced to delay, reduce the scope of or eliminate one or more of its research and development programs. The Company concluded the likelihood that its plan to successfully obtain sufficient funding or adequately delay or reduce expenditures, while reasonably possible, is less than probable. As of December 31, 2025, the Company had cash and cash equivalents of $28.7 million. The Company’s management expects that the existing cash and cash equivalents will not be sufficient to fund the Company’s operating plans for at least twelve months from the issuance date of these consolidated financial statements. Accordingly, the Company has concluded that substantial doubt exists about its ability to continue as a going concern.</w:t>
      </w:r>
    </w:p>
    <w:p>
      <w:pPr>
        <w:spacing w:after="0" w:line="171" w:lineRule="exact"/>
        <w:rPr>
          <w:sz w:val="20"/>
          <w:szCs w:val="20"/>
          <w:color w:val="auto"/>
        </w:rPr>
      </w:pPr>
    </w:p>
    <w:p>
      <w:pPr>
        <w:ind w:right="20" w:firstLine="480"/>
        <w:spacing w:after="0" w:line="265" w:lineRule="auto"/>
        <w:rPr>
          <w:sz w:val="20"/>
          <w:szCs w:val="20"/>
          <w:color w:val="auto"/>
        </w:rPr>
      </w:pPr>
      <w:r>
        <w:rPr>
          <w:rFonts w:ascii="Times New Roman" w:cs="Times New Roman" w:eastAsia="Times New Roman" w:hAnsi="Times New Roman"/>
          <w:sz w:val="19"/>
          <w:szCs w:val="19"/>
          <w:color w:val="auto"/>
        </w:rPr>
        <w:t>The consolidated financial statements have been prepared on a going concern basis, which contemplates the realization of assets and satisfaction of liabilities in the ordinary course of business. The consolidated financial statements do not include any adjustments relating to the recoverability and classification of recorded asset amounts or the amounts and classification of liabilities that might result from the outcome of the uncertainties described above.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Reverse Stock Split</w:t>
      </w:r>
    </w:p>
    <w:p>
      <w:pPr>
        <w:spacing w:after="0" w:line="177" w:lineRule="exact"/>
        <w:rPr>
          <w:sz w:val="20"/>
          <w:szCs w:val="20"/>
          <w:color w:val="auto"/>
        </w:rPr>
      </w:pPr>
    </w:p>
    <w:p>
      <w:pPr>
        <w:ind w:right="100" w:firstLine="480"/>
        <w:spacing w:after="0" w:line="264" w:lineRule="auto"/>
        <w:rPr>
          <w:sz w:val="20"/>
          <w:szCs w:val="20"/>
          <w:color w:val="auto"/>
        </w:rPr>
      </w:pPr>
      <w:r>
        <w:rPr>
          <w:rFonts w:ascii="Times New Roman" w:cs="Times New Roman" w:eastAsia="Times New Roman" w:hAnsi="Times New Roman"/>
          <w:sz w:val="19"/>
          <w:szCs w:val="19"/>
          <w:color w:val="auto"/>
        </w:rPr>
        <w:t>On January 4, 2024, the Company effected a 1-for-10 reverse stock split (the “Reverse Stock Split”) of its common stock. The par value per share and the number of authorized shares were not adjusted as a result of the Reverse Stock Split. The shares of common stock underlying outstanding stock options, common stock warrants and other equity instruments were proportionately reduced and the respective exercise prices, if applicable, were proportionately increased in accordance with the terms of the agreements governing such securities. In addition, the shares available for grants under the Company’s incentive plans were adjusted as a result of the Reverse Stock Split.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77" w:lineRule="exact"/>
        <w:rPr>
          <w:sz w:val="20"/>
          <w:szCs w:val="20"/>
          <w:color w:val="auto"/>
        </w:rPr>
      </w:pPr>
    </w:p>
    <w:p>
      <w:pPr>
        <w:ind w:right="40" w:firstLine="480"/>
        <w:spacing w:after="0" w:line="264"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management to make estimates, assumptions and judgements that affect the reported amounts of assets and liabilities and disclosure of contingent liabilities as of the date of the consolidated financial statements and the reported amounts of income and expenses during the reporting periods. Significant estimates and assumptions made in the consolidated financial statements include but are not limited to, the determination of the accrued research and development expenses, the measurement of stock-based compensation expense and the valuation of warrant liability.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177" w:lineRule="exact"/>
        <w:rPr>
          <w:sz w:val="20"/>
          <w:szCs w:val="20"/>
          <w:color w:val="auto"/>
        </w:rPr>
      </w:pPr>
    </w:p>
    <w:p>
      <w:pPr>
        <w:jc w:val="both"/>
        <w:ind w:right="160"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provides a reconciliation of cash and cash equivalents and restricted cash reported within the consolidated balance sheets that sum to the total amount shown in the consolidated statements of cash flows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8"/>
              </w:rPr>
              <w:t>Cash and cash equivalents . . . . . . . . . . . . . . . . . . .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28,692</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71,637</w:t>
            </w:r>
          </w:p>
        </w:tc>
      </w:tr>
      <w:tr>
        <w:trPr>
          <w:trHeight w:val="261"/>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Restricted cash . . . . . . . . . . . . . . . . . . . . . . . . . . . . . . . . . . . . . . . . . . . . . . . . . . .</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417</w:t>
            </w:r>
          </w:p>
        </w:tc>
      </w:tr>
      <w:tr>
        <w:trPr>
          <w:trHeight w:val="240"/>
        </w:trPr>
        <w:tc>
          <w:tcPr>
            <w:tcW w:w="65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Total cash, cash equivalents and restricted cash . . . . . . . . . . . . . . . . . . . . . . . .</w:t>
            </w: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29,109</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72,054</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360"/>
          </w:cols>
          <w:pgMar w:left="1440" w:top="941" w:right="1440" w:bottom="348" w:gutter="0" w:footer="0" w:header="0"/>
          <w:type w:val="continuous"/>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Cash and cash equivalents consist of cash held in operating accounts and investments in money market funds.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cash relates to the letter of credit secured in conjunction with the operating lease (Note 8).</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Other Risks and Uncertainties</w:t>
      </w:r>
    </w:p>
    <w:p>
      <w:pPr>
        <w:spacing w:after="0" w:line="177" w:lineRule="exact"/>
        <w:rPr>
          <w:sz w:val="20"/>
          <w:szCs w:val="20"/>
          <w:color w:val="auto"/>
        </w:rPr>
      </w:pPr>
    </w:p>
    <w:p>
      <w:pPr>
        <w:ind w:right="120" w:firstLine="480"/>
        <w:spacing w:after="0" w:line="248" w:lineRule="auto"/>
        <w:rPr>
          <w:sz w:val="20"/>
          <w:szCs w:val="20"/>
          <w:color w:val="auto"/>
        </w:rPr>
      </w:pPr>
      <w:r>
        <w:rPr>
          <w:rFonts w:ascii="Times New Roman" w:cs="Times New Roman" w:eastAsia="Times New Roman" w:hAnsi="Times New Roman"/>
          <w:sz w:val="20"/>
          <w:szCs w:val="20"/>
          <w:color w:val="auto"/>
        </w:rPr>
        <w:t>The Company’s cash and cash equivalents are maintained with financial institutions in the United States of America. Cash balances are held at financial institutions and account balances may exceed federally insured limits. To date, the Company has not experienced any losses on its cash, cash equivalents and marketable securities’ balances and periodically evaluates the creditworthiness of its financial institutions.</w:t>
      </w:r>
    </w:p>
    <w:p>
      <w:pPr>
        <w:spacing w:after="0" w:line="169"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The Company is subject to risks common to companies in the development stage, including, but not limited to, development and regulatory approval of new product candidates, development of markets and distribution channels, dependence on key personnel, and the ability to obtain additional capital as needed to fund its product plans. To achieve profitable operations, the Company must successfully develop and obtain requisite regulatory approvals for, manufacture, and market its product candidates. There can be no assurance that any such product candidate can be developed and approved or manufactured at an acceptable cost and with appropriate performance characteristics, or that such product will be successfully marketed. These factors could have a material adverse effect on the Company’s future financial results.</w:t>
      </w:r>
    </w:p>
    <w:p>
      <w:pPr>
        <w:spacing w:after="0" w:line="171" w:lineRule="exact"/>
        <w:rPr>
          <w:sz w:val="20"/>
          <w:szCs w:val="20"/>
          <w:color w:val="auto"/>
        </w:rPr>
      </w:pPr>
    </w:p>
    <w:p>
      <w:pPr>
        <w:ind w:right="340" w:firstLine="480"/>
        <w:spacing w:after="0" w:line="248" w:lineRule="auto"/>
        <w:rPr>
          <w:sz w:val="20"/>
          <w:szCs w:val="20"/>
          <w:color w:val="auto"/>
        </w:rPr>
      </w:pPr>
      <w:r>
        <w:rPr>
          <w:rFonts w:ascii="Times New Roman" w:cs="Times New Roman" w:eastAsia="Times New Roman" w:hAnsi="Times New Roman"/>
          <w:sz w:val="20"/>
          <w:szCs w:val="20"/>
          <w:color w:val="auto"/>
        </w:rPr>
        <w:t>Products developed by the Company require approval from the U.S. Food and Drug Administration (the “FDA”) or other international regulatory agencies prior to commercial sales. There can be no assurance that the Company’s future products will receive the necessary clearances. If the Company were denied such clearances or such clearances were delayed, it could have a materially adverse impact on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77" w:lineRule="exact"/>
        <w:rPr>
          <w:sz w:val="20"/>
          <w:szCs w:val="20"/>
          <w:color w:val="auto"/>
        </w:rPr>
      </w:pPr>
    </w:p>
    <w:p>
      <w:pPr>
        <w:ind w:right="180" w:firstLine="480"/>
        <w:spacing w:after="0" w:line="264" w:lineRule="auto"/>
        <w:rPr>
          <w:sz w:val="20"/>
          <w:szCs w:val="20"/>
          <w:color w:val="auto"/>
        </w:rPr>
      </w:pPr>
      <w:r>
        <w:rPr>
          <w:rFonts w:ascii="Times New Roman" w:cs="Times New Roman" w:eastAsia="Times New Roman" w:hAnsi="Times New Roman"/>
          <w:sz w:val="19"/>
          <w:szCs w:val="19"/>
          <w:color w:val="auto"/>
        </w:rPr>
        <w:t>Property and equipment, net is stated at cost less accumulated depreciation and amortization. Depreciation and amortization are recorded using the straight-line method over the estimated useful lives of the assets, generally 3 to 5 years. Leasehold improvements are amortized over the shorter of the estimated useful life of the asset or the remaining term of the lease. Upon the sale or retirement of assets, the cost and related accumulated depreciation and amortization are removed from the balance sheets and the resulting gain or loss is reflected in the consolidated statements of operations and comprehensive loss. Maintenance and repairs are charged to operations as incurred.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77"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The Company reviews its long-lived assets for impairment, principally property and equipment, whenever events or changes in business circumstances indicate the carrying amount of an asset may not be fully recoverable. Recoverability of assets held and used is measured by comparing the carrying amount of an asset to future net cash flows expected to be generated by the asset. If the Company determines that the carrying value of long-lived assets may not be recoverable, the impairment to be recognized is measured by the amount by which the carrying amount of the assets exceeds the fair value of the assets. Fair value is determined through various valuation techniques, principally discounted cash flow models, to assess the fair values of long-lived assets.</w:t>
      </w:r>
    </w:p>
    <w:p>
      <w:pPr>
        <w:spacing w:after="0" w:line="170" w:lineRule="exact"/>
        <w:rPr>
          <w:sz w:val="20"/>
          <w:szCs w:val="20"/>
          <w:color w:val="auto"/>
        </w:rPr>
      </w:pPr>
    </w:p>
    <w:p>
      <w:pPr>
        <w:ind w:right="240" w:firstLine="480"/>
        <w:spacing w:after="0" w:line="248" w:lineRule="auto"/>
        <w:rPr>
          <w:sz w:val="20"/>
          <w:szCs w:val="20"/>
          <w:color w:val="auto"/>
        </w:rPr>
      </w:pPr>
      <w:r>
        <w:rPr>
          <w:rFonts w:ascii="Times New Roman" w:cs="Times New Roman" w:eastAsia="Times New Roman" w:hAnsi="Times New Roman"/>
          <w:sz w:val="20"/>
          <w:szCs w:val="20"/>
          <w:color w:val="auto"/>
        </w:rPr>
        <w:t>The Company recognized an impairment loss of $1.1 million for the year ended December 31, 2025, which was recorded in research and development and general and administrative expenses in the consolidated statements of operations and comprehensive loss in the amounts of $0.8 million and $0.3 million, respectively (see Note 16). The Company did not record any impairment of long-lived assets during the year ended December 31, 2024.</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360"/>
          </w:cols>
          <w:pgMar w:left="1440" w:top="941" w:right="1440" w:bottom="353"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The Company determines whether an arrangement is or contains a lease at the inception of the arrangement and whether such a lease is classified as a financing lease or operating lease at the commencement date of the lease. Leases with a term greater than one year are recognized on the balance sheet as operating right-of-use assets, current portion of operating lease liabilities and non-current portion of operating lease liabilities. The Company elected not to recognize the right-of-use assets and lease liabilities for leases with lease terms of 12 months or less (short-term leases). Lease liabilities and their corresponding right-of-use assets are recorded based on the present value of lease payments over the expected lease term. As the interest rate implicit in the Company’s lease contracts is not readily determinable, the Company utilizes a collateralized incremental borrowing rate based on the information available at the commencement date to determine the present value of lease payments. Certain adjustments to the right-of-use asset may be required for items such as initial direct costs paid or incentives received and impairment charges if the Company determines the right-of-use asset is impaired.</w:t>
      </w:r>
    </w:p>
    <w:p>
      <w:pPr>
        <w:spacing w:after="0" w:line="175"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20"/>
          <w:szCs w:val="20"/>
          <w:color w:val="auto"/>
        </w:rPr>
        <w:t>The Company considers the lease term to be the noncancelable period that it has the right to use the underlying asset, together with any periods where it is reasonably certain it will exercise an option to extend (or not terminate) the lease. Periods covered by an option to extend (or not terminate) the lease in which the exercise of the option is controlled by the lessor are included in the lease term.</w:t>
      </w:r>
    </w:p>
    <w:p>
      <w:pPr>
        <w:spacing w:after="0" w:line="169" w:lineRule="exact"/>
        <w:rPr>
          <w:sz w:val="20"/>
          <w:szCs w:val="20"/>
          <w:color w:val="auto"/>
        </w:rPr>
      </w:pPr>
    </w:p>
    <w:p>
      <w:pPr>
        <w:jc w:val="both"/>
        <w:ind w:right="120" w:firstLine="480"/>
        <w:spacing w:after="0" w:line="249" w:lineRule="auto"/>
        <w:rPr>
          <w:sz w:val="20"/>
          <w:szCs w:val="20"/>
          <w:color w:val="auto"/>
        </w:rPr>
      </w:pPr>
      <w:r>
        <w:rPr>
          <w:rFonts w:ascii="Times New Roman" w:cs="Times New Roman" w:eastAsia="Times New Roman" w:hAnsi="Times New Roman"/>
          <w:sz w:val="20"/>
          <w:szCs w:val="20"/>
          <w:color w:val="auto"/>
        </w:rPr>
        <w:t>Rent expense for operating leases is recognized on a straight-line basis over the lease term and is presented in operating expenses on the consolidated statements of operations and comprehensive loss. The Company has elected to not separate lease and non-lease components for its real estate leases and has instead accounted for each separate lease component and the non-lease components associated with that lease component as a single lease component. Variable lease payments are recognized as lease expense as incurred and are presented in operating expenses on the consolidated statements of operations and comprehensive loss.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had no finance leases as of December 31, 2025 and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The Company’s financial instruments consist of cash and cash equivalents, prepaid expenses and other current assets, accounts payable, accrued expenses and other current liabilities, warrant liability and other non-current liabilities. Fair value is defined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The carrying amounts of cash, prepaid expenses and other current assets, accounts payable, accrued expenses and other current liabilities, approximate fair value due to their short-term maturities.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Warrants to Purchase Common Stock</w:t>
      </w:r>
    </w:p>
    <w:p>
      <w:pPr>
        <w:spacing w:after="0" w:line="177"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9"/>
          <w:szCs w:val="19"/>
          <w:color w:val="auto"/>
        </w:rPr>
        <w:t>The Company accounts for issued warrants as either equity-classified or liability-classified instruments based on an assessment of the warrant’s specific terms and applicable authoritative guidance included in ASC Topic 480, Distinguishing Liabilities from Equity (“ASC 480”), and ASC Topic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which requires the use of professional judgment, is conducted at the time of warrant issuance and as of each subsequent reporting period end date while the warrants are outstanding. Warrants that meet all of the criteria for equity classification are required to be recorded as a component of additional paid-in capital at the time of issuance, or when the conditions for equity classification are met and are not subsequently remeasured. Warrants that do not meet the required criteria for equity classification are classified as liabilities at fair value. The warrants are subsequently remeasured at each reporting date with changes in fair value recorded in the consolidated statements of operations and comprehensive loss until exercise or expiration.</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360"/>
          </w:cols>
          <w:pgMar w:left="1440" w:top="941" w:right="1440" w:bottom="353"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177" w:lineRule="exact"/>
        <w:rPr>
          <w:sz w:val="20"/>
          <w:szCs w:val="20"/>
          <w:color w:val="auto"/>
        </w:rPr>
      </w:pPr>
    </w:p>
    <w:p>
      <w:pPr>
        <w:ind w:right="220" w:firstLine="480"/>
        <w:spacing w:after="0" w:line="249" w:lineRule="auto"/>
        <w:rPr>
          <w:sz w:val="20"/>
          <w:szCs w:val="20"/>
          <w:color w:val="auto"/>
        </w:rPr>
      </w:pPr>
      <w:r>
        <w:rPr>
          <w:rFonts w:ascii="Times New Roman" w:cs="Times New Roman" w:eastAsia="Times New Roman" w:hAnsi="Times New Roman"/>
          <w:sz w:val="20"/>
          <w:szCs w:val="20"/>
          <w:color w:val="auto"/>
        </w:rPr>
        <w:t>The Company has entered into various agreements with outsourced vendors, contract manufacturing organizations and contract research organizations. The Company makes estimates of accrued research and development expenses as of each balance sheet date based on facts and circumstances known at that time. The Company periodically confirms the accuracy of its estimates with the service providers and makes adjustments, if necessary. Research and development accruals are estimated based on the level of services performed, progress of the studies, including the phase or completion of events, and contracted costs. The estimated costs of research and development services provided, but not yet invoiced, are included in accrued expenses on the consolidated balance sheets. If the actual timing of the performance of services or the level of effort varies from the original estimates, the Company will adjust the accrual accordingly. Payments made under these arrangements in advance of the performance of the related services are recorded as prepaid expenses and other current assets until the services are rendered. To date, there have been no material differences between estimates of such expenses and the amounts actually incurred.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77" w:lineRule="exact"/>
        <w:rPr>
          <w:sz w:val="20"/>
          <w:szCs w:val="20"/>
          <w:color w:val="auto"/>
        </w:rPr>
      </w:pPr>
    </w:p>
    <w:p>
      <w:pPr>
        <w:ind w:right="40" w:firstLine="480"/>
        <w:spacing w:after="0" w:line="264" w:lineRule="auto"/>
        <w:rPr>
          <w:sz w:val="20"/>
          <w:szCs w:val="20"/>
          <w:color w:val="auto"/>
        </w:rPr>
      </w:pPr>
      <w:r>
        <w:rPr>
          <w:rFonts w:ascii="Times New Roman" w:cs="Times New Roman" w:eastAsia="Times New Roman" w:hAnsi="Times New Roman"/>
          <w:sz w:val="19"/>
          <w:szCs w:val="19"/>
          <w:color w:val="auto"/>
        </w:rPr>
        <w:t>The Company expenses research and development (“R&amp;D”) expenses as incurred. R&amp;D expenses consist primarily of personnel-related expenses, clinical trials, engineering and product development costs to support regulatory clearance of, and related regulatory compliance for, the Company’s products. Specifically, R&amp;D expenses that support regulatory approval of, and related regulatory compliance for, the Company’s products include costs associated with the Company’s clinical trials, consisting of clinical trial design, clinical site establishment and management, clinical data management, travel expenses and the costs of products used for the Company’s clinical trials. Personnel-related expenses include salaries, benefits, bonuses and stock-based compensation of the Company’s R&amp;D employees. Non personnel-related expenses include costs of outside consultants, testing, materials and supplies, and allocated overhead. The Company allocates overhead related to rent, facility costs, information technology and human resources costs. R&amp;D expenses are charged to expense when incurred.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177" w:lineRule="exact"/>
        <w:rPr>
          <w:sz w:val="20"/>
          <w:szCs w:val="20"/>
          <w:color w:val="auto"/>
        </w:rPr>
      </w:pPr>
    </w:p>
    <w:p>
      <w:pPr>
        <w:ind w:right="100" w:firstLine="480"/>
        <w:spacing w:after="0" w:line="248" w:lineRule="auto"/>
        <w:rPr>
          <w:sz w:val="20"/>
          <w:szCs w:val="20"/>
          <w:color w:val="auto"/>
        </w:rPr>
      </w:pPr>
      <w:r>
        <w:rPr>
          <w:rFonts w:ascii="Times New Roman" w:cs="Times New Roman" w:eastAsia="Times New Roman" w:hAnsi="Times New Roman"/>
          <w:sz w:val="20"/>
          <w:szCs w:val="20"/>
          <w:color w:val="auto"/>
        </w:rPr>
        <w:t>General and administrative expenses include compensation, employee benefits and stock-based compensation for executive management, finance administration and human resources, allocated facility and information technology costs, professional service fees and other general overhead costs, including allocated depreciation to support the Company’s operations.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77"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9"/>
          <w:szCs w:val="19"/>
          <w:color w:val="auto"/>
        </w:rPr>
        <w:t>The Company measures its stock options granted to employees and non-employees based on the estimated fair values of the awards as of the grant date using the Black-Scholes option-pricing model. The model requires management to make a number of assumptions, including expected volatility, expected term, risk-free interest rate and expected dividend yield. For restricted stock unit awards, the estimated fair value is the fair market value of the underlying stock on the grant date. The Company expenses the fair value of its equity-based compensation awards on a straight-line basis over the requisite service period, which is the period in which the related services are received. The Company accounts for award forfeitures as they occur. The expense for stock-based awards with performance conditions is recognized when it is probable that a performance condition is met during the vesting period.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77" w:lineRule="exact"/>
        <w:rPr>
          <w:sz w:val="20"/>
          <w:szCs w:val="20"/>
          <w:color w:val="auto"/>
        </w:rPr>
      </w:pPr>
    </w:p>
    <w:p>
      <w:pPr>
        <w:ind w:right="20" w:firstLine="480"/>
        <w:spacing w:after="0" w:line="248"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The Company recognizes deferred tax assets and liabilities for the expected future tax consequences of events that have been included in the consolidated financial statements or tax returns. Deferred tax assets and liabilities are determined based on the difference between the consolidated financial statements and tax basis of assets and liabilities using enacted tax rates in effect for the year in which the differences are expected to reverse.</w:t>
      </w:r>
    </w:p>
    <w:p>
      <w:pPr>
        <w:sectPr>
          <w:pgSz w:w="12240" w:h="15840" w:orient="portrait"/>
          <w:cols w:equalWidth="0" w:num="1">
            <w:col w:w="9360"/>
          </w:cols>
          <w:pgMar w:left="1440" w:top="941" w:right="1440" w:bottom="353"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360"/>
          </w:cols>
          <w:pgMar w:left="1440" w:top="941" w:right="1440" w:bottom="353" w:gutter="0" w:footer="0" w:header="0"/>
          <w:type w:val="continuous"/>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if all or part of the net deferred tax assets are determined not to be realizable in the future, an adjustment to the valuation allowance would be charged to the provision of income taxes in the period when such determination is made. As of December 31, 2025 and 2024, the Company has recorded a full valuation allowance on its deferred tax assets.</w:t>
      </w:r>
    </w:p>
    <w:p>
      <w:pPr>
        <w:spacing w:after="0" w:line="171" w:lineRule="exact"/>
        <w:rPr>
          <w:sz w:val="20"/>
          <w:szCs w:val="20"/>
          <w:color w:val="auto"/>
        </w:rPr>
      </w:pPr>
    </w:p>
    <w:p>
      <w:pPr>
        <w:ind w:right="40" w:firstLine="480"/>
        <w:spacing w:after="0" w:line="248" w:lineRule="auto"/>
        <w:rPr>
          <w:sz w:val="20"/>
          <w:szCs w:val="20"/>
          <w:color w:val="auto"/>
        </w:rPr>
      </w:pPr>
      <w:r>
        <w:rPr>
          <w:rFonts w:ascii="Times New Roman" w:cs="Times New Roman" w:eastAsia="Times New Roman" w:hAnsi="Times New Roman"/>
          <w:sz w:val="20"/>
          <w:szCs w:val="20"/>
          <w:color w:val="auto"/>
        </w:rPr>
        <w:t>Tax benefits related to uncertain tax positions are recognized when it is more likely than not that a tax position will be sustained during an audit. Interest and penalties related to unrecognized tax benefits are included within the provision for income tax. To date, there have been no interest or penalties recorded in relation to unrecognized tax benefits.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Transactions</w:t>
      </w:r>
    </w:p>
    <w:p>
      <w:pPr>
        <w:spacing w:after="0" w:line="177" w:lineRule="exact"/>
        <w:rPr>
          <w:sz w:val="20"/>
          <w:szCs w:val="20"/>
          <w:color w:val="auto"/>
        </w:rPr>
      </w:pPr>
    </w:p>
    <w:p>
      <w:pPr>
        <w:ind w:right="600" w:firstLine="480"/>
        <w:spacing w:after="0" w:line="249" w:lineRule="auto"/>
        <w:rPr>
          <w:sz w:val="20"/>
          <w:szCs w:val="20"/>
          <w:color w:val="auto"/>
        </w:rPr>
      </w:pPr>
      <w:r>
        <w:rPr>
          <w:rFonts w:ascii="Times New Roman" w:cs="Times New Roman" w:eastAsia="Times New Roman" w:hAnsi="Times New Roman"/>
          <w:sz w:val="20"/>
          <w:szCs w:val="20"/>
          <w:color w:val="auto"/>
        </w:rPr>
        <w:t>Transactions denominated in foreign currencies are initially measured in U.S. dollars using the exchange rate on the date of the transaction. Foreign currency denominated monetary assets and liabilities are subsequently re-measured at the end of each reporting period using the exchange rate at that date, with the corresponding foreign currency transaction gain or loss recorded in the consolidated statements of operations and comprehensive loss and consolidated statements of cash flows. Nonmonetary assets and liabilities are not subsequently re-measured.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77" w:lineRule="exact"/>
        <w:rPr>
          <w:sz w:val="20"/>
          <w:szCs w:val="20"/>
          <w:color w:val="auto"/>
        </w:rPr>
      </w:pPr>
    </w:p>
    <w:p>
      <w:pPr>
        <w:ind w:right="220" w:firstLine="480"/>
        <w:spacing w:after="0" w:line="248" w:lineRule="auto"/>
        <w:rPr>
          <w:sz w:val="20"/>
          <w:szCs w:val="20"/>
          <w:color w:val="auto"/>
        </w:rPr>
      </w:pPr>
      <w:r>
        <w:rPr>
          <w:rFonts w:ascii="Times New Roman" w:cs="Times New Roman" w:eastAsia="Times New Roman" w:hAnsi="Times New Roman"/>
          <w:sz w:val="20"/>
          <w:szCs w:val="20"/>
          <w:color w:val="auto"/>
        </w:rPr>
        <w:t>Comprehensive loss represents all changes in stockholders’ equity except those resulting from distributions to stockholders. There have been no items qualifying as other comprehensive income (loss) during the years ended December 31, 2025 and 2024, and therefore, the Company’s comprehensive loss was the same as its reported net loss.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 Attributable to Common Stockholders</w:t>
      </w:r>
    </w:p>
    <w:p>
      <w:pPr>
        <w:spacing w:after="0" w:line="17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Basic net loss per common share is calculated by dividing the net loss attributable to common stockholders by the weighted-average number of shares of common stock outstanding during the period, without consideration of potentially dilutive securities. The Pre-Funded Warrants (see Note 7) are included in the computation of basic net loss per share because their exercise price is negligible and they are fully vested and exercisable at any time after the original issuance date. Diluted net loss per share is computed by dividing the net loss attributable to common stockholders adjusted for income (expenses), net of tax, related to any diluted securities, by the weighted-average number of shares of common stock and potentially dilutive securities outstanding for the period. For purposes of the diluted net loss per share calculation, the restricted stock units, the Public Warrants (see Note 9), the Common Warrants (see Note 7) and stock options are considered to be potentially dilutive securities.</w:t>
      </w:r>
    </w:p>
    <w:p>
      <w:pPr>
        <w:spacing w:after="0" w:line="173"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Basic and diluted net loss attributable to common stockholders per share is presented in conformity with the two-class method required for participating securities. The Company considers the Common Warrants to be participating securities as the holders are entitled to receive dividends on a pari passu basis in the event that a dividend is paid on common stock. The Company’s participating securities do not have a contractual obligation to share in the Company’s losses. As such, the net loss is attributed entirely to common stockholders. For the years ended December 31, 2025 and 2024, the diluted net loss per common share was the same as basic net loss per share of common stock, as the impact of potentially dilutive securities was antidilutive to the net loss per common share. The performance restricted stock units are contingently issuable shares and are not included in the diluted net loss per share calculation until contingencies are resolved.</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360"/>
          </w:cols>
          <w:pgMar w:left="1440" w:top="941" w:right="1440" w:bottom="353"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SUMMARY OF SIGNIFICANT ACCOUNTING POLICIES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Company has one reportable and operating segment. Financial information about the Company’s operating segment is presented in Note 15.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 Accounting Pronouncements Adopted</w:t>
      </w:r>
    </w:p>
    <w:p>
      <w:pPr>
        <w:spacing w:after="0" w:line="177" w:lineRule="exact"/>
        <w:rPr>
          <w:sz w:val="20"/>
          <w:szCs w:val="20"/>
          <w:color w:val="auto"/>
        </w:rPr>
      </w:pPr>
    </w:p>
    <w:p>
      <w:pPr>
        <w:ind w:right="160" w:firstLine="480"/>
        <w:spacing w:after="0" w:line="264" w:lineRule="auto"/>
        <w:rPr>
          <w:sz w:val="20"/>
          <w:szCs w:val="20"/>
          <w:color w:val="auto"/>
        </w:rPr>
      </w:pPr>
      <w:r>
        <w:rPr>
          <w:rFonts w:ascii="Times New Roman" w:cs="Times New Roman" w:eastAsia="Times New Roman" w:hAnsi="Times New Roman"/>
          <w:sz w:val="19"/>
          <w:szCs w:val="19"/>
          <w:color w:val="auto"/>
        </w:rPr>
        <w:t>In December 2023, the Financial Accounting Standards Board (the “FASB”) issued Accounting Standards Update (“ASU”) No. 2023-09, Income Taxes (Topic 740): Improvements to Income Tax Disclosures. This ASU requires public entities, on an annual basis, to provide disclosure of specific categories in the rate reconciliation, as well as disclosure of income taxes paid disaggregated by jurisdiction. ASU No. 2023-09 is effective for fiscal years beginning after December 15, 2024, with early adoption permitted. The Company adopted ASU No. 2023-09 as of December 31, 2025 on a prospective basis. Additional required disclosures have been included in Note 12.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Pronouncements Not Yet Adopted</w:t>
      </w:r>
    </w:p>
    <w:p>
      <w:pPr>
        <w:spacing w:after="0" w:line="177"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In November 2024, the FASB issued ASU No. 2024-03, Income Statement-Reporting Comprehensive Income-Expense Disaggregation Disclosures (Subtopic 220-40): Disaggregation of Income Statement Expenses, to improve financial reporting by requiring that public business entities disclose additional information about specific expense categories in the notes to financial statements at interim and annual reporting periods. In January 2025, the FASB issued ASU No. 2025-01, Income Statement — Reporting Comprehensive Income — Expense Disaggregation Disclosures (Subtopic 220-40): Clarifying the Effective Date (“ASU 2025-01”). The amendments do not change or remove current expense disclosure requirements; however, the amendments affect where such information appears in the notes to financial statements because entities are required to include certain current disclosures in the same tabular format disclosure as the other disaggregation requirements in the amendments. The amendments are effective for annual reporting periods beginning after December 15, 2026, and interim reporting periods beginning after December 15, 2027. Early adoption is permitted. The Company is currently evaluating the impact of adopting this ASU to its consolidated financial statements.</w:t>
      </w:r>
    </w:p>
    <w:p>
      <w:pPr>
        <w:spacing w:after="0" w:line="200" w:lineRule="exact"/>
        <w:rPr>
          <w:sz w:val="20"/>
          <w:szCs w:val="20"/>
          <w:color w:val="auto"/>
        </w:rPr>
      </w:pPr>
    </w:p>
    <w:p>
      <w:pPr>
        <w:spacing w:after="0" w:line="21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In September 2025, the FASB issued ASU No. 2025-06, Intangibles — Goodwill and Other — Internal — Use Software (Subtopic 350-40): Targeted Improvements to the Accounting for Internal-Use Software (“ASU 2025-06”). The amendments in ASU 2025-06 remove all references to prescriptive and sequential software development stages. This ASU requires entities to begin capitalizing software costs when management authorizes and commits to funding the software project, and it is probable that the project will be completed, and the software will be used for its intended purpose. ASU 2025-06 is effective for fiscal years beginning after December 15, 2027, including interim periods within those fiscal years. Early adoption is permitted. The Company is currently evaluating the impact of adopting this ASU to its consolidated financial statements.</w:t>
      </w:r>
    </w:p>
    <w:p>
      <w:pPr>
        <w:spacing w:after="0" w:line="171"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In December 2025, the FASB issued ASU No. 2025-10, Accounting for Government Grants Received by Business Entities (Topic 832). This ASU provides recognition, measurement, presentation, and disclosure requirements for government grants, including guidance for grants related to an asset and grants related to income. ASU No. 2025-10 is effective for fiscal years beginning after December 15, 2028, including interim periods within those fiscal years. Early adoption is permitted. The Company is currently evaluating the impact of adopting this ASU to its consolidated financial statements.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360"/>
          </w:cols>
          <w:pgMar w:left="1440" w:top="941" w:right="1440" w:bottom="353" w:gutter="0" w:footer="0" w:header="0"/>
          <w:type w:val="continuous"/>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2. SUMMARY OF SIGNIFICANT ACCOUNTING POLICIES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In December 2025, the FASB issued ASU No. 2025-11, Interim Reporting: Narrow-Scope Improvements (Topic 270). This ASU improves clarity for interim financial reporting requirements under the existing guidance within ASC Topic 270, by creating a comprehensive list of interim disclosure requirements, clarifying scope and applicability, along with adding a principle to disclose all material events that have occurred since the most recently filed Annual Report on Form 10-K. ASU No. 2025-11 is effective for interim reporting for fiscal years beginning after December 15, 2027, with early adoption permitted. The Company is currently evaluating the impact of adopting this ASU to its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FAIR VALUE MEASUREMENTS</w:t>
      </w:r>
    </w:p>
    <w:p>
      <w:pPr>
        <w:spacing w:after="0" w:line="177" w:lineRule="exact"/>
        <w:rPr>
          <w:sz w:val="20"/>
          <w:szCs w:val="20"/>
          <w:color w:val="auto"/>
        </w:rPr>
      </w:pPr>
    </w:p>
    <w:p>
      <w:pPr>
        <w:ind w:right="240" w:firstLine="480"/>
        <w:spacing w:after="0" w:line="249" w:lineRule="auto"/>
        <w:rPr>
          <w:sz w:val="20"/>
          <w:szCs w:val="20"/>
          <w:color w:val="auto"/>
        </w:rPr>
      </w:pPr>
      <w:r>
        <w:rPr>
          <w:rFonts w:ascii="Times New Roman" w:cs="Times New Roman" w:eastAsia="Times New Roman" w:hAnsi="Times New Roman"/>
          <w:sz w:val="20"/>
          <w:szCs w:val="20"/>
          <w:color w:val="auto"/>
        </w:rPr>
        <w:t>The Company measures certain financial assets and liabilities at fair value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68" w:lineRule="exact"/>
        <w:rPr>
          <w:sz w:val="20"/>
          <w:szCs w:val="20"/>
          <w:color w:val="auto"/>
        </w:rPr>
      </w:pPr>
    </w:p>
    <w:p>
      <w:pPr>
        <w:ind w:left="960" w:right="180" w:hanging="480"/>
        <w:spacing w:after="0" w:line="243" w:lineRule="auto"/>
        <w:tabs>
          <w:tab w:leader="none" w:pos="9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Inputs are unadjusted, quoted prices in active markets for identical assets or liabilities at the measurement date;</w:t>
      </w:r>
    </w:p>
    <w:p>
      <w:pPr>
        <w:spacing w:after="0" w:line="174" w:lineRule="exact"/>
        <w:rPr>
          <w:rFonts w:ascii="Times New Roman" w:cs="Times New Roman" w:eastAsia="Times New Roman" w:hAnsi="Times New Roman"/>
          <w:sz w:val="20"/>
          <w:szCs w:val="20"/>
          <w:color w:val="auto"/>
        </w:rPr>
      </w:pPr>
    </w:p>
    <w:p>
      <w:pPr>
        <w:ind w:left="960" w:right="520" w:hanging="480"/>
        <w:spacing w:after="0" w:line="248" w:lineRule="auto"/>
        <w:tabs>
          <w:tab w:leader="none" w:pos="9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69" w:lineRule="exact"/>
        <w:rPr>
          <w:rFonts w:ascii="Times New Roman" w:cs="Times New Roman" w:eastAsia="Times New Roman" w:hAnsi="Times New Roman"/>
          <w:sz w:val="20"/>
          <w:szCs w:val="20"/>
          <w:color w:val="auto"/>
        </w:rPr>
      </w:pPr>
    </w:p>
    <w:p>
      <w:pPr>
        <w:ind w:left="960" w:right="120" w:hanging="480"/>
        <w:spacing w:after="0" w:line="243" w:lineRule="auto"/>
        <w:tabs>
          <w:tab w:leader="none" w:pos="9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Unobservable inputs that are significant to the measurement of the fair value of the assets or liabilities that are supported by little or no market data.</w:t>
      </w:r>
    </w:p>
    <w:p>
      <w:pPr>
        <w:spacing w:after="0" w:line="174" w:lineRule="exact"/>
        <w:rPr>
          <w:sz w:val="20"/>
          <w:szCs w:val="20"/>
          <w:color w:val="auto"/>
        </w:rPr>
      </w:pPr>
    </w:p>
    <w:p>
      <w:pPr>
        <w:ind w:right="300" w:firstLine="480"/>
        <w:spacing w:after="0" w:line="246"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73" w:lineRule="exact"/>
        <w:rPr>
          <w:sz w:val="20"/>
          <w:szCs w:val="20"/>
          <w:color w:val="auto"/>
        </w:rPr>
      </w:pPr>
    </w:p>
    <w:p>
      <w:pPr>
        <w:ind w:right="180" w:firstLine="480"/>
        <w:spacing w:after="0" w:line="248" w:lineRule="auto"/>
        <w:rPr>
          <w:sz w:val="20"/>
          <w:szCs w:val="20"/>
          <w:color w:val="auto"/>
        </w:rPr>
      </w:pPr>
      <w:r>
        <w:rPr>
          <w:rFonts w:ascii="Times New Roman" w:cs="Times New Roman" w:eastAsia="Times New Roman" w:hAnsi="Times New Roman"/>
          <w:sz w:val="20"/>
          <w:szCs w:val="20"/>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69" w:lineRule="exact"/>
        <w:rPr>
          <w:sz w:val="20"/>
          <w:szCs w:val="20"/>
          <w:color w:val="auto"/>
        </w:rPr>
      </w:pPr>
    </w:p>
    <w:p>
      <w:pPr>
        <w:ind w:right="180" w:firstLine="480"/>
        <w:spacing w:after="0" w:line="248" w:lineRule="auto"/>
        <w:rPr>
          <w:sz w:val="20"/>
          <w:szCs w:val="20"/>
          <w:color w:val="auto"/>
        </w:rPr>
      </w:pPr>
      <w:r>
        <w:rPr>
          <w:rFonts w:ascii="Times New Roman" w:cs="Times New Roman" w:eastAsia="Times New Roman" w:hAnsi="Times New Roman"/>
          <w:sz w:val="20"/>
          <w:szCs w:val="20"/>
          <w:color w:val="auto"/>
        </w:rPr>
        <w:t>The fair value of Level 1 securities is determined using quoted prices in active markets for identical assets. Level 1 securities consist of highly liquid money market funds. In addition, restricted cash collateralized by money market funds is a financial asset measured at fair value and is a Level 1 financial instrument under the fair value hierarchy.</w:t>
      </w:r>
    </w:p>
    <w:p>
      <w:pPr>
        <w:spacing w:after="0" w:line="169"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Financial assets and liabilities are considered Level 2 when their fair values are determined using inputs that are observable in the market or can be derived principally from or corroborated by observable market data, such as pricing for similar securities, recently executed transactions, cash flow models with yield curves, and benchmark securities. In addition, Level 2 financial instruments are valued using comparisons to like-kind financial instruments and models that use readily observable market data as their basis. The Company had no financial instruments classified at Level 2 as of December 31, 2025 and 2024.</w:t>
      </w:r>
    </w:p>
    <w:p>
      <w:pPr>
        <w:spacing w:after="0" w:line="168"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Financial assets and liabilities are considered Level 3 when their fair values are determined using pricing models, discounted cash flow methodologies, or similar techniques and at least one significant model assumption or input is unobservable. As of December 31, 2025, the Company’s Level 3 liabilities consisted of the warrant liability. The Company had no financial instruments classified at Level 3 as of December 31, 2024.</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360"/>
          </w:cols>
          <w:pgMar w:left="1440" w:top="941" w:right="1440" w:bottom="353" w:gutter="0" w:footer="0" w:header="0"/>
          <w:type w:val="continuous"/>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3. FAIR VALUE MEASUREMENTS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There were no transfers within the hierarchy during the years ended December 31, 2025 and 2024.</w:t>
      </w:r>
    </w:p>
    <w:p>
      <w:pPr>
        <w:spacing w:after="0" w:line="177" w:lineRule="exact"/>
        <w:rPr>
          <w:sz w:val="20"/>
          <w:szCs w:val="20"/>
          <w:color w:val="auto"/>
        </w:rPr>
      </w:pPr>
    </w:p>
    <w:p>
      <w:pPr>
        <w:ind w:right="36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tables set forth the fair value of the Company’s financial assets and liabilities measured on a recurring basis by level within the fair value hierarchy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8"/>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 . . . . . . . . . . . . . . . . . . . . . . . .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27,692</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27,692</w:t>
            </w:r>
          </w:p>
        </w:tc>
        <w:tc>
          <w:tcPr>
            <w:tcW w:w="0" w:type="dxa"/>
            <w:vAlign w:val="bottom"/>
          </w:tcPr>
          <w:p>
            <w:pPr>
              <w:spacing w:after="0"/>
              <w:rPr>
                <w:sz w:val="1"/>
                <w:szCs w:val="1"/>
                <w:color w:val="auto"/>
              </w:rPr>
            </w:pPr>
          </w:p>
        </w:tc>
      </w:tr>
      <w:tr>
        <w:trPr>
          <w:trHeight w:val="239"/>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Total fair value of assets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8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27,692</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Financial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Warrant liability . . . . . . . . . . . . . . . . . . . . . . . . . . .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16,164</w:t>
            </w: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16,164</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Total fair value of financial liabilities . . . . . . . . . . .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16,164</w:t>
            </w:r>
          </w:p>
        </w:tc>
        <w:tc>
          <w:tcPr>
            <w:tcW w:w="180" w:type="dxa"/>
            <w:vAlign w:val="bottom"/>
          </w:tcPr>
          <w:p>
            <w:pPr>
              <w:spacing w:after="0"/>
              <w:rPr>
                <w:sz w:val="20"/>
                <w:szCs w:val="20"/>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16,164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3"/>
              <w:spacing w:after="0" w:line="201" w:lineRule="exact"/>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63"/>
              <w:spacing w:after="0" w:line="201" w:lineRule="exact"/>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8"/>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Money market funds . . . . . . . . . . . . . . . . . . . . . . . .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70,637</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w w:val="89"/>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70,637</w:t>
            </w:r>
          </w:p>
        </w:tc>
        <w:tc>
          <w:tcPr>
            <w:tcW w:w="0" w:type="dxa"/>
            <w:vAlign w:val="bottom"/>
          </w:tcPr>
          <w:p>
            <w:pPr>
              <w:spacing w:after="0"/>
              <w:rPr>
                <w:sz w:val="1"/>
                <w:szCs w:val="1"/>
                <w:color w:val="auto"/>
              </w:rPr>
            </w:pPr>
          </w:p>
        </w:tc>
      </w:tr>
      <w:tr>
        <w:trPr>
          <w:trHeight w:val="24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Total fair value of assets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20"/>
                <w:szCs w:val="20"/>
                <w:color w:val="auto"/>
                <w:w w:val="8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70,637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right="100" w:firstLine="48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2025, the changes in the Company’s warrant liability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Warrant</w:t>
            </w:r>
          </w:p>
        </w:tc>
      </w:tr>
      <w:tr>
        <w:trPr>
          <w:trHeight w:val="209"/>
        </w:trPr>
        <w:tc>
          <w:tcPr>
            <w:tcW w:w="7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3"/>
              <w:spacing w:after="0" w:line="201" w:lineRule="exact"/>
              <w:rPr>
                <w:sz w:val="20"/>
                <w:szCs w:val="20"/>
                <w:color w:val="auto"/>
              </w:rPr>
            </w:pPr>
            <w:r>
              <w:rPr>
                <w:rFonts w:ascii="Times New Roman" w:cs="Times New Roman" w:eastAsia="Times New Roman" w:hAnsi="Times New Roman"/>
                <w:sz w:val="18"/>
                <w:szCs w:val="18"/>
                <w:b w:val="1"/>
                <w:bCs w:val="1"/>
                <w:color w:val="auto"/>
              </w:rPr>
              <w:t>Liability</w:t>
            </w:r>
          </w:p>
        </w:tc>
        <w:tc>
          <w:tcPr>
            <w:tcW w:w="60" w:type="dxa"/>
            <w:vAlign w:val="bottom"/>
          </w:tcPr>
          <w:p>
            <w:pPr>
              <w:spacing w:after="0"/>
              <w:rPr>
                <w:sz w:val="18"/>
                <w:szCs w:val="18"/>
                <w:color w:val="auto"/>
              </w:rPr>
            </w:pP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8"/>
              </w:rPr>
              <w:t xml:space="preserve">Fair Value as of December 31, 2024 </w:t>
            </w:r>
            <w:r>
              <w:rPr>
                <w:rFonts w:ascii="Times New Roman" w:cs="Times New Roman" w:eastAsia="Times New Roman" w:hAnsi="Times New Roman"/>
                <w:sz w:val="20"/>
                <w:szCs w:val="20"/>
                <w:color w:val="auto"/>
                <w:w w:val="98"/>
              </w:rPr>
              <w:t>. . . . . . . . . . . . . . . . . . . . . . . . . . . . . . . . . . . . . .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Issuance of warrants . . . . . . . . . . . . . . . . . . . . . . . . . . . . . . . . . . . . . . . . . . . . . . . . . . . . . . . . . . . .</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24,692</w:t>
            </w:r>
          </w:p>
        </w:tc>
        <w:tc>
          <w:tcPr>
            <w:tcW w:w="60" w:type="dxa"/>
            <w:vAlign w:val="bottom"/>
          </w:tcPr>
          <w:p>
            <w:pPr>
              <w:spacing w:after="0"/>
              <w:rPr>
                <w:sz w:val="22"/>
                <w:szCs w:val="22"/>
                <w:color w:val="auto"/>
              </w:rPr>
            </w:pPr>
          </w:p>
        </w:tc>
      </w:tr>
      <w:tr>
        <w:trPr>
          <w:trHeight w:val="26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Change in the fair value . . . . . . . . . . . . . . . . . . . . . . . . . . . . . . . . . . . . . . . . . . . . . . . . . . . . . . . . .</w:t>
            </w: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(8,528)</w:t>
            </w:r>
          </w:p>
        </w:tc>
      </w:tr>
      <w:tr>
        <w:trPr>
          <w:trHeight w:val="24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8"/>
              </w:rPr>
              <w:t xml:space="preserve">Fair Value as of December 31, 2025 </w:t>
            </w:r>
            <w:r>
              <w:rPr>
                <w:rFonts w:ascii="Times New Roman" w:cs="Times New Roman" w:eastAsia="Times New Roman" w:hAnsi="Times New Roman"/>
                <w:sz w:val="20"/>
                <w:szCs w:val="20"/>
                <w:color w:val="auto"/>
                <w:w w:val="98"/>
              </w:rPr>
              <w:t>. . . . . . . . . . . . . . . . . . . . . . . . . . . . . . . . . . . . . . . . . . . . . . . . .</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16,164</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The Company uses the Black-Scholes pricing model to determine the fair value of its warrant liability using Level 3 inputs. Inputs used to determine estimated fair value of the warrant liability include the fair value of the underlying stock at the valuation date, the term of the warrants, and the expected volatility of the underlying stock. The significant unobservable input used in the fair value measurement of the warrant liability is the estimated term of the warrants. The estimates of fair value are uncertain and changes in any of the estimated inputs used as of the date of this report could have resulted in significant adjustments to the fair value.</w:t>
      </w:r>
    </w:p>
    <w:p>
      <w:pPr>
        <w:spacing w:after="0" w:line="168"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key inputs into valuation models used to estimate the fair value of the warrant liability as of September 22, 2025, the issuance date, and as of December 31, 2025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22,</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r>
      <w:tr>
        <w:trPr>
          <w:trHeight w:val="247"/>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Common stock price . . . .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140" w:type="dxa"/>
            <w:vAlign w:val="bottom"/>
          </w:tcPr>
          <w:p>
            <w:pPr>
              <w:spacing w:after="0"/>
              <w:rPr>
                <w:sz w:val="21"/>
                <w:szCs w:val="21"/>
                <w:color w:val="auto"/>
              </w:rPr>
            </w:pP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120" w:type="dxa"/>
            <w:vAlign w:val="bottom"/>
          </w:tcPr>
          <w:p>
            <w:pPr>
              <w:spacing w:after="0"/>
              <w:rPr>
                <w:sz w:val="21"/>
                <w:szCs w:val="21"/>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2"/>
                <w:szCs w:val="22"/>
                <w:color w:val="auto"/>
              </w:rPr>
            </w:pP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113.30%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113.00%</w:t>
            </w:r>
          </w:p>
        </w:tc>
      </w:tr>
      <w:tr>
        <w:trPr>
          <w:trHeight w:val="260"/>
        </w:trPr>
        <w:tc>
          <w:tcPr>
            <w:tcW w:w="644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 . . . . . . . . . . . . . . . . . .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3.66%</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3.58%</w:t>
            </w: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360"/>
          </w:cols>
          <w:pgMar w:left="1440" w:top="941" w:right="1440" w:bottom="353" w:gutter="0" w:footer="0" w:header="0"/>
          <w:type w:val="continuous"/>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CONSOLIDATED BALANCE SHEET COMPONENTS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expenses and other current assets</w:t>
      </w:r>
    </w:p>
    <w:p>
      <w:pPr>
        <w:spacing w:after="0" w:line="177" w:lineRule="exact"/>
        <w:rPr>
          <w:sz w:val="20"/>
          <w:szCs w:val="20"/>
          <w:color w:val="auto"/>
        </w:rPr>
      </w:pPr>
    </w:p>
    <w:p>
      <w:pPr>
        <w:ind w:right="40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details of prepaid expenses and other current assets as of the dates set forth below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prepaid expenses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4,320</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Prepaid insurance . . . . . . . . . . . . . . . . . . . . . . . . . . . . . . . . . . . . . . . . . . . . . . . . .</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866</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Prepaid travel expenses . . . . . . . . . . . . . . . . . . . . . . . . . . . . . . . . . . . . . . . . . . . . .</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prepaid expenses and current assets . . . . . . . . . . . . . . . . . . . . . . . . . . . . . .</w:t>
            </w:r>
          </w:p>
        </w:tc>
        <w:tc>
          <w:tcPr>
            <w:tcW w:w="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664</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5,953</w:t>
            </w:r>
          </w:p>
        </w:tc>
        <w:tc>
          <w:tcPr>
            <w:tcW w:w="6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4,174</w:t>
            </w: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77" w:lineRule="exact"/>
        <w:rPr>
          <w:sz w:val="20"/>
          <w:szCs w:val="20"/>
          <w:color w:val="auto"/>
        </w:rPr>
      </w:pPr>
    </w:p>
    <w:p>
      <w:pPr>
        <w:ind w:right="22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details of property and equipment, net as of the dates set forth below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r>
      <w:tr>
        <w:trPr>
          <w:trHeight w:val="24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Leasehold improvements . . . . . . . . . . . . . . . . . . . . . . . . . . . . . . . . . . . . . . . . . . .</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2,711</w:t>
            </w:r>
          </w:p>
        </w:tc>
        <w:tc>
          <w:tcPr>
            <w:tcW w:w="12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2,711</w:t>
            </w:r>
          </w:p>
        </w:tc>
        <w:tc>
          <w:tcPr>
            <w:tcW w:w="60" w:type="dxa"/>
            <w:vAlign w:val="bottom"/>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Lab equipment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2,049</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Office furniture &amp; fixtures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Computer equipment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60" w:type="dxa"/>
            <w:vAlign w:val="bottom"/>
          </w:tcPr>
          <w:p>
            <w:pPr>
              <w:spacing w:after="0"/>
              <w:rPr>
                <w:sz w:val="22"/>
                <w:szCs w:val="22"/>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Capitalized software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60" w:type="dxa"/>
            <w:vAlign w:val="bottom"/>
          </w:tcPr>
          <w:p>
            <w:pPr>
              <w:spacing w:after="0"/>
              <w:rPr>
                <w:sz w:val="22"/>
                <w:szCs w:val="22"/>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Property and equipment, gross . . . . . . . . . . . . . . . . . . . . . . . . . . . . . . . . . . . .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5,682</w:t>
            </w:r>
          </w:p>
        </w:tc>
        <w:tc>
          <w:tcPr>
            <w:tcW w:w="60" w:type="dxa"/>
            <w:vAlign w:val="bottom"/>
          </w:tcPr>
          <w:p>
            <w:pPr>
              <w:spacing w:after="0"/>
              <w:rPr>
                <w:sz w:val="20"/>
                <w:szCs w:val="20"/>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Less: accumulated depreciation and amortization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(4,814)</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(3,807)</w:t>
            </w: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Property and equipment, net . . . . . . . . . . . . . . . . . . . . . . . . . . . . . . . . . . . . . . .</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1,875</w:t>
            </w:r>
          </w:p>
        </w:tc>
        <w:tc>
          <w:tcPr>
            <w:tcW w:w="60" w:type="dxa"/>
            <w:vAlign w:val="bottom"/>
          </w:tcPr>
          <w:p>
            <w:pPr>
              <w:spacing w:after="0"/>
              <w:rPr>
                <w:sz w:val="20"/>
                <w:szCs w:val="20"/>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jc w:val="both"/>
        <w:ind w:right="40" w:firstLine="480"/>
        <w:spacing w:after="0" w:line="243" w:lineRule="auto"/>
        <w:rPr>
          <w:sz w:val="20"/>
          <w:szCs w:val="20"/>
          <w:color w:val="auto"/>
        </w:rPr>
      </w:pPr>
      <w:r>
        <w:rPr>
          <w:rFonts w:ascii="Times New Roman" w:cs="Times New Roman" w:eastAsia="Times New Roman" w:hAnsi="Times New Roman"/>
          <w:sz w:val="20"/>
          <w:szCs w:val="20"/>
          <w:color w:val="auto"/>
        </w:rPr>
        <w:t>Depreciation and amortization expense for the years ended December 31, 2025 and 2024 was $1.1 million and $1.4 million, respectively.</w:t>
      </w:r>
    </w:p>
    <w:p>
      <w:pPr>
        <w:spacing w:after="0" w:line="174" w:lineRule="exact"/>
        <w:rPr>
          <w:sz w:val="20"/>
          <w:szCs w:val="20"/>
          <w:color w:val="auto"/>
        </w:rPr>
      </w:pPr>
    </w:p>
    <w:p>
      <w:pPr>
        <w:ind w:right="200" w:firstLine="480"/>
        <w:spacing w:after="0" w:line="249" w:lineRule="auto"/>
        <w:rPr>
          <w:sz w:val="20"/>
          <w:szCs w:val="20"/>
          <w:color w:val="auto"/>
        </w:rPr>
      </w:pPr>
      <w:r>
        <w:rPr>
          <w:rFonts w:ascii="Times New Roman" w:cs="Times New Roman" w:eastAsia="Times New Roman" w:hAnsi="Times New Roman"/>
          <w:sz w:val="20"/>
          <w:szCs w:val="20"/>
          <w:color w:val="auto"/>
        </w:rPr>
        <w:t>In December 2025, the Company reviewed its long-lived assets for impairment and recognized an impairment loss of $0.7 million to write off certain property and equipment assets to zero, as these assets were abandoned after the Company’s restructuring of its research and development organization in the fourth quarter of 2025 (see Note 16). The impairment loss of $0.6 million and $0.1 million were recorded in research and development and general and administrative expenses, respectively, in the consolidated statements of operations and comprehensive loss for the year ended December 31, 2025.</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 and other current liabilities</w:t>
      </w:r>
    </w:p>
    <w:p>
      <w:pPr>
        <w:spacing w:after="0" w:line="177" w:lineRule="exact"/>
        <w:rPr>
          <w:sz w:val="20"/>
          <w:szCs w:val="20"/>
          <w:color w:val="auto"/>
        </w:rPr>
      </w:pPr>
    </w:p>
    <w:p>
      <w:pPr>
        <w:ind w:right="10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the details of accrued expenses and other current liabilities as of the dates set forth below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accrued expenses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3,775</w:t>
            </w:r>
          </w:p>
        </w:tc>
        <w:tc>
          <w:tcPr>
            <w:tcW w:w="100" w:type="dxa"/>
            <w:vAlign w:val="bottom"/>
          </w:tcPr>
          <w:p>
            <w:pPr>
              <w:spacing w:after="0"/>
              <w:rPr>
                <w:sz w:val="21"/>
                <w:szCs w:val="21"/>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6,424</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Accrued employee and related compensation expenses . . . . . . . . . . . . . . . . . . . .</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1,589</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Accrued legal and professional expenses . . . . . . . . . . . . . . . . . . . . . . . . . . . . . . .</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261</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Other . . . . . . . . . . . . . . . . . . . . . . . . . . . . . . . . . . . . . . . . . . . . . . . . . . . . . . . . . . .</w:t>
            </w:r>
          </w:p>
        </w:tc>
        <w:tc>
          <w:tcPr>
            <w:tcW w:w="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5,745</w:t>
            </w:r>
          </w:p>
        </w:tc>
        <w:tc>
          <w:tcPr>
            <w:tcW w:w="100" w:type="dxa"/>
            <w:vAlign w:val="bottom"/>
          </w:tcPr>
          <w:p>
            <w:pPr>
              <w:spacing w:after="0"/>
              <w:rPr>
                <w:sz w:val="20"/>
                <w:szCs w:val="20"/>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10,121</w:t>
            </w: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360"/>
          </w:cols>
          <w:pgMar w:left="1440" w:top="941" w:right="1440" w:bottom="353"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CIRM GRANT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November 2020, California Institute for Regenerative Medicine (“CIRM”) awarded the Company</w:t>
      </w:r>
    </w:p>
    <w:p>
      <w:pPr>
        <w:spacing w:after="0" w:line="1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$2.3 million in support of the research project related to a monoclonal antibody that depletes blood stem cells and enables chemotherapy-free transplants. The award is payable to the Company upon achievement of milestones that are primarily based on patient enrollment in the Company’s clinical trials. CIRM could permanently cease disbursements if milestones are not met within four months of the scheduled completion date. Additionally, if CIRM determines, in its sole discretion, that the Company has not complied with the terms and conditions of the grant, CIRM may suspend or permanently cease disbursements. Funds received under this grant may only be used for allowable project costs specifically identified with the CIRM-funded project. Such costs can include, but are not limited to, salary for personnel, itemized supplies, consultants, and itemized clinical study costs. Under the terms of the grant, both CIRM and the Company will co-fund the research project and the amount of the Company’s co-funding requirement is predetermined as a part of the award. Under the terms of the CIRM grant, the Company is obligated to pay royalties and licensing fees based on 0.1% of net sales of CIRM-funded inventions per $1.0 million of CIRM grant. As an alternative to revenue sharing, the Company has the option to convert the award to a loan. In the event the Company exercises its right to convert the award to a loan, it would be obligated to repay the loan within ten business days of making such election. Repayment amounts vary dependent on when the award is converted to a loan, ranging from 60% of the award granted to amounts received plus interest at the rate of the three-month LIBOR rate plus 25% per annum. Since the Company may be required to repay some or all of the amounts awarded by CIRM, the Company accounted for this award as a liability. Given the uncertainty in amounts due upon repayment, the Company has recorded amounts received without any discount or interest recorded, and upon determination of amounts that would become due, the Company will adjust accordingly. In the absence of explicit U.S. GAAP guidance on contributions received by business entities from government entities, the Company has applied to the CIRM grant the recognition and measurement guidance in Accounting Standards Codification Topic 958-605 by analogy. The Company has received an aggregate of $2.3 million from CIRM through December 31, 2025. As of December 31, 2025, the CIRM grant has been closed and there are no further amounts available for future distribution to the Company under the grant. As of each of December 31, 2025 and 2024, the amount of CIRM grant received of $2.3 million is included in other non-current liabilities in the consolidated balance sheets.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SIGNIFICANT AGREEMENTS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Stanford License Agreements</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In March 2021, the Company entered into an exclusive license agreement with Stanford (the “2021 Stanford License Agreement”). In July 2023, the Company entered into an amendment to the 2021 Stanford License Agreement to modify certain milestones set forth thereunder. The Company received a worldwide, exclusive license, with a right to sublicense, for briquilimab in the field of depleting endogenous blood stem cells in patients for whom hematopoietic cell transplantation is indicated. Stanford transferred to the Company certain know-how and patents related to briquilimab (together, the “Licensed Technology”). Under the terms of this agreement, the Company is required to use commercially reasonable efforts to develop, manufacture, and sell licensed product and to develop markets for a licensed product. In addition, the Company is required to use commercially reasonable efforts to meet the milestones as specified in the agreement over the six years from execution of the 2021 Stanford License Agreement and must notify Stanford in writing as each milestone is met.</w:t>
      </w:r>
    </w:p>
    <w:p>
      <w:pPr>
        <w:spacing w:after="0" w:line="174" w:lineRule="exact"/>
        <w:rPr>
          <w:sz w:val="20"/>
          <w:szCs w:val="20"/>
          <w:color w:val="auto"/>
        </w:rPr>
      </w:pPr>
    </w:p>
    <w:p>
      <w:pPr>
        <w:ind w:right="300" w:firstLine="480"/>
        <w:spacing w:after="0" w:line="249" w:lineRule="auto"/>
        <w:rPr>
          <w:sz w:val="20"/>
          <w:szCs w:val="20"/>
          <w:color w:val="auto"/>
        </w:rPr>
      </w:pPr>
      <w:r>
        <w:rPr>
          <w:rFonts w:ascii="Times New Roman" w:cs="Times New Roman" w:eastAsia="Times New Roman" w:hAnsi="Times New Roman"/>
          <w:sz w:val="20"/>
          <w:szCs w:val="20"/>
          <w:color w:val="auto"/>
        </w:rPr>
        <w:t>The Company is obligated to pay annual license maintenance fees, beginning on the first anniversary of the effective date of the agreement and ending upon the first commercial sale of a product, method, or service in the licensed field of use, as follows: $25,000 for each first and second year, $35,000 for each third and fourth year and $50,000 at each anniversary thereafter ending upon the first commercial sale. The Company is also obligated to pay late-stage clinical development milestone payments and first commercial sales milestone payments of up to $9.0 million in total. The Company will also pay low single-digit royalties on net sales of licensed products, if approved. The Company paid $35,000 in annual license maintenance fees in each of April 2025 and March 2024, which were recognized as research and development expense in the consolidated statements of operations and comprehensive loss for the years ended December 31, 2025 and 2024.</w:t>
      </w:r>
    </w:p>
    <w:p>
      <w:pPr>
        <w:sectPr>
          <w:pgSz w:w="12240" w:h="15840" w:orient="portrait"/>
          <w:cols w:equalWidth="0" w:num="1">
            <w:col w:w="9360"/>
          </w:cols>
          <w:pgMar w:left="1440" w:top="941" w:right="1440" w:bottom="353"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360"/>
          </w:cols>
          <w:pgMar w:left="1440" w:top="941" w:right="1440" w:bottom="353" w:gutter="0" w:footer="0" w:header="0"/>
          <w:type w:val="continuous"/>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6. SIGNIFICANT AGREEMENTS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The 2021 Stanford License Agreement expires on a country-by-country basis on the last-to-expire valid claim of a licensed patent in such country. The Company may terminate the agreement by giving Stanford written notice at least 12 months in advance of the effective date of termination. The Company may also terminate the agreement solely with respect to any particular patent application or patent by giving Stanford written notice at least 60 days in advance of the effective date of termination. Stanford may terminate the agreement after 90 days from a written notice by Stanford, specifying a problem, including a delinquency on any report required pursuant to the agreement or any payment, missing a milestone or a material breach, unless the Company remediates the problem in that 90-day period.</w:t>
      </w:r>
    </w:p>
    <w:p>
      <w:pPr>
        <w:spacing w:after="0" w:line="171"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In December 2024, the Company entered into a co-exclusive license agreement with Stanford (the “2024 Stanford License Agreement”). The Company received a co-exclusive license in the United States, with a right to sublicense, for a certain patent to be used in the field of the treatment and prevention of human diseases, including the use of anti-CD117 antibodies (other than JSP191) for the purpose of depleting endogenous blood stem cells in patients for whom hematopoietic cell transplantation is indicated (the “Co-Exclusive Licensed Field of Use”) and an exclusive license in the United States for the use of the same patent in the field provided in the 2021 Stanford License Agreement (the “Exclusive Licensed Field of Use”). Stanford will have at most one other commercial license for the licensed patent in the Co-Exclusive Licensed Field of Use. Under the terms of this agreement, the Company is required to use commercially reasonable efforts to develop, manufacture, and sell a licensed product and to develop markets for a licensed product. In addition, the Company is required to use commercially reasonable efforts to meet the milestones as specified in the agreement over approximately 4.5 years from the execution of the agreement and must notify Stanford in writing when, and if, each milestone is met.</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The Company was obligated to pay a license issue fee of $75,000, following the execution of the agreement, which was paid in January 2025. The Company is also obligated to pay annual license maintenance fees, beginning on the first anniversary of the effective date of the agreement, as follows: $25,000 for each of the first through third years, $50,000 for each of the fourth through sixth years and $65,000 at each anniversary thereafter. The Company is also obligated to pay clinical development milestone payments of up to $1.3 million and sales milestone payments of up to $7.0 million in total. The Company will pay low single-digit royalties on net sales of licensed products, if approved. The Company will pay Stanford a portion of sublicensee consideration if a sublicense is granted. As of December 31, 2025, the Company recognized $25,000 related to the annual license maintenance fee as research and development expense in the statement of operations and comprehensive loss and as accounts payable in the consolidated balance sheet. As of December 31, 2024, the Company recognized $75,000 related to the license issue fee as research and development expense in the statement of operations and comprehensive loss and as accrued expenses and other current liabilities in the consolidated balance sheet.</w:t>
      </w:r>
    </w:p>
    <w:p>
      <w:pPr>
        <w:spacing w:after="0" w:line="177"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The Company may terminate the agreement by giving Stanford written notice at least 30 days in advance of the effective date of termination. Stanford may terminate the agreement by giving the Company 90 days written notice for a problem, including a delinquency on any report required pursuant to the agreement, missing a milestone or a material breach, and by giving the Company 30 days written notice for a payment default, unless the Company remediates the problem in that 90-day or 30-day period.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WARRANTS</w:t>
      </w:r>
    </w:p>
    <w:p>
      <w:pPr>
        <w:spacing w:after="0" w:line="177" w:lineRule="exact"/>
        <w:rPr>
          <w:sz w:val="20"/>
          <w:szCs w:val="20"/>
          <w:color w:val="auto"/>
        </w:rPr>
      </w:pPr>
    </w:p>
    <w:p>
      <w:pPr>
        <w:ind w:right="180" w:firstLine="480"/>
        <w:spacing w:after="0" w:line="248" w:lineRule="auto"/>
        <w:rPr>
          <w:sz w:val="20"/>
          <w:szCs w:val="20"/>
          <w:color w:val="auto"/>
        </w:rPr>
      </w:pPr>
      <w:r>
        <w:rPr>
          <w:rFonts w:ascii="Times New Roman" w:cs="Times New Roman" w:eastAsia="Times New Roman" w:hAnsi="Times New Roman"/>
          <w:sz w:val="20"/>
          <w:szCs w:val="20"/>
          <w:color w:val="auto"/>
        </w:rPr>
        <w:t>In September 2025, in connection and together with the issuance of 11,670,707 shares of the Company’s voting common stock through the underwritten offering (the “September 2025 Offering”), the Company issued pre-funded warrants to purchase 675,000 shares of common stock (the “Pre-Funded Warrants”) and common stock warrants to purchase 12,345,707 shares of common stock (the “Common Warrants”). See Note 9 for additional details about the September 2025 Offering.</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360"/>
          </w:cols>
          <w:pgMar w:left="1440" w:top="941" w:right="1440" w:bottom="353" w:gutter="0" w:footer="0" w:header="0"/>
          <w:type w:val="continuous"/>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WARRANTS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Pre-Funded Warrants</w:t>
      </w:r>
    </w:p>
    <w:p>
      <w:pPr>
        <w:spacing w:after="0" w:line="177" w:lineRule="exact"/>
        <w:rPr>
          <w:sz w:val="20"/>
          <w:szCs w:val="20"/>
          <w:color w:val="auto"/>
        </w:rPr>
      </w:pPr>
    </w:p>
    <w:p>
      <w:pPr>
        <w:ind w:right="80" w:firstLine="480"/>
        <w:spacing w:after="0" w:line="264" w:lineRule="auto"/>
        <w:rPr>
          <w:sz w:val="20"/>
          <w:szCs w:val="20"/>
          <w:color w:val="auto"/>
        </w:rPr>
      </w:pPr>
      <w:r>
        <w:rPr>
          <w:rFonts w:ascii="Times New Roman" w:cs="Times New Roman" w:eastAsia="Times New Roman" w:hAnsi="Times New Roman"/>
          <w:sz w:val="19"/>
          <w:szCs w:val="19"/>
          <w:color w:val="auto"/>
        </w:rPr>
        <w:t>The exercise price of each Pre-Funded Warrant is $0.0001 per share. The Pre-Funded Warrants are exercisable at the option of each holder in whole or in part at any time after their original issuance and have no expiration date. The Pre-Funded Warrants may be exercised by means of cash or the cashless settlement of the net number of shares of common stock determined according to a formula set forth in the Pre-Funded Warrants. However, a holder will not be entitled to exercise any portion of any Pre-Funded Warrant that, upon giving effect to such exercise, would cause the aggregate number of shares of common stock beneficially owned by such holder (together with its affiliates) to exceed 4.99% (or, at the election of the holder, 9.99% or 19.99%) of the number of issued and outstanding shares of common stock following such exercise. However, any holder of a Pre-Funded Warrant may increase or decrease such percentage to any other percentage not in excess of 19.99%, provided that the holder shall provide written notice at least 61 days’ prior written notice to the Company prior to the date such increase shall be effective.</w:t>
      </w:r>
    </w:p>
    <w:p>
      <w:pPr>
        <w:spacing w:after="0" w:line="157" w:lineRule="exact"/>
        <w:rPr>
          <w:sz w:val="20"/>
          <w:szCs w:val="20"/>
          <w:color w:val="auto"/>
        </w:rPr>
      </w:pPr>
    </w:p>
    <w:p>
      <w:pPr>
        <w:ind w:right="160" w:firstLine="480"/>
        <w:spacing w:after="0" w:line="248" w:lineRule="auto"/>
        <w:rPr>
          <w:sz w:val="20"/>
          <w:szCs w:val="20"/>
          <w:color w:val="auto"/>
        </w:rPr>
      </w:pPr>
      <w:r>
        <w:rPr>
          <w:rFonts w:ascii="Times New Roman" w:cs="Times New Roman" w:eastAsia="Times New Roman" w:hAnsi="Times New Roman"/>
          <w:sz w:val="20"/>
          <w:szCs w:val="20"/>
          <w:color w:val="auto"/>
        </w:rPr>
        <w:t>Pursuant to the terms of the Pre-Funded Warrant, upon the consummation of a Fundamental Transaction, as defined in the Pre-Funded Warrants, the holders of the Pre-Funded Warrants are entitled to receive, upon exercise of the Pre-Funded Warrants, the kind and amount of securities, cash or other property that such holders would have received had they exercised the Pre-Funded Warrants immediately prior to such Fundamental Transaction, without regard to any limitations on exercise contained in the Pre-Funded Warrants.</w:t>
      </w:r>
    </w:p>
    <w:p>
      <w:pPr>
        <w:spacing w:after="0" w:line="172" w:lineRule="exact"/>
        <w:rPr>
          <w:sz w:val="20"/>
          <w:szCs w:val="20"/>
          <w:color w:val="auto"/>
        </w:rPr>
      </w:pPr>
    </w:p>
    <w:p>
      <w:pPr>
        <w:ind w:right="160" w:firstLine="480"/>
        <w:spacing w:after="0" w:line="246" w:lineRule="auto"/>
        <w:rPr>
          <w:sz w:val="20"/>
          <w:szCs w:val="20"/>
          <w:color w:val="auto"/>
        </w:rPr>
      </w:pPr>
      <w:r>
        <w:rPr>
          <w:rFonts w:ascii="Times New Roman" w:cs="Times New Roman" w:eastAsia="Times New Roman" w:hAnsi="Times New Roman"/>
          <w:sz w:val="20"/>
          <w:szCs w:val="20"/>
          <w:color w:val="auto"/>
        </w:rPr>
        <w:t>The Company concluded that the Pre-Funded Warrants met the equity indexation criteria and the Pre-Funded Warrants are therefore accounted for in stockholders’ equity. The Company recorded $0.3 million to additional paid-in capital upon issuance of the Pre-Funded Warrants.</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none of the Pre-Funded Warrants have been exercised.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Common Warrants</w:t>
      </w:r>
    </w:p>
    <w:p>
      <w:pPr>
        <w:spacing w:after="0" w:line="177"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20"/>
          <w:szCs w:val="20"/>
          <w:color w:val="auto"/>
        </w:rPr>
        <w:t>The exercise price of each Common Warrant is $2.92 per share. Each Common Warrant is exercisable commencing on the six month anniversary of the date of issuance and thereafter for a period of four years. The Common Warrants may be exercised by means of cash or the cashless settlement of the net number of shares of common stock determined according to a formula set forth in the Common Warrants. However, a holder will not be entitled to exercise any portion of any Common Warrant that, upon giving effect to such exercise, would cause the aggregate number of shares of common stock beneficially owned by such holder (together with its affiliates) to exceed 4.99% (or, at the election of the holder, 9.99% or 19.99%) of the number of issued and outstanding shares of common stock following such exercise. However, any holder of a Common Warrant may increase or decrease such percentage to any other percentage not in excess of 19.99%, provided that the holder shall provide written notice at least 61 days’ prior written notice to the Company prior to the date such increase shall be effective.</w:t>
      </w:r>
    </w:p>
    <w:p>
      <w:pPr>
        <w:spacing w:after="0" w:line="174"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color w:val="auto"/>
        </w:rPr>
        <w:t>Pursuant to the terms of the Common Warrant, upon the consummation of a Fundamental Transaction, as defined in the Common Warrants, the holders of the Common Warrants are entitled to receive, upon exercise of the Common Warrant, the kind and amount of securities, cash or other property that such holders would have received had they exercised the Pre-Funded Warrants immediately prior to such Fundamental Transaction, without regard to any limitations on exercise contained in the Pre-Funded Warrants or the holder may require the Company or the successor entity to repurchase the unexercised portion of the Common Warrant for its Black Scholes Value, as defined in the Common Warrant; provided, however, if the holder shall only be entitled to receive from the Company or any successor entity the same type or form of consideration (and in the same proportion) at the Black Scholes Value of the unexercised portion of the Common Warrant, that is being offered and paid to the holders of common stock of the Company in connection with the Fundamental Transaction, whether that consideration be in the form of cash, shares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w:t>
      </w:r>
    </w:p>
    <w:p>
      <w:pPr>
        <w:sectPr>
          <w:pgSz w:w="12240" w:h="15840" w:orient="portrait"/>
          <w:cols w:equalWidth="0" w:num="1">
            <w:col w:w="9360"/>
          </w:cols>
          <w:pgMar w:left="1440" w:top="941" w:right="1440" w:bottom="353"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360"/>
          </w:cols>
          <w:pgMar w:left="1440" w:top="941" w:right="1440" w:bottom="353" w:gutter="0" w:footer="0" w:header="0"/>
          <w:type w:val="continuous"/>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7. WARRANTS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The Company concluded that the Common Warrants did not meet the equity indexation criteria due to the certain inputs to estimate the number of shares issuable in a Fundamental Transaction and the Common Warrants are therefore accounted for as liabilities. The Company recorded $24.7 million to warrant liability upon issuance of the outstanding Common Warrants. The Company estimated fair value of the Common Warrants at the issuance date using the Black-Scholes valuation model and will remeasure the liability at each reporting date. The Company recorded a change in fair value of warrant liability of $8.5 million in its consolidated statement of operations and comprehensive loss for the year ended December 31, 2025. Refer to Note 3 for assumptions used to estimate the Common Warrants fair value.</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none of the Common Warrants have been exercised.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COMMITMENTS AND 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177" w:lineRule="exact"/>
        <w:rPr>
          <w:sz w:val="20"/>
          <w:szCs w:val="20"/>
          <w:color w:val="auto"/>
        </w:rPr>
      </w:pPr>
    </w:p>
    <w:p>
      <w:pPr>
        <w:ind w:right="420" w:firstLine="480"/>
        <w:spacing w:after="0" w:line="243" w:lineRule="auto"/>
        <w:rPr>
          <w:sz w:val="20"/>
          <w:szCs w:val="20"/>
          <w:color w:val="auto"/>
        </w:rPr>
      </w:pPr>
      <w:r>
        <w:rPr>
          <w:rFonts w:ascii="Times New Roman" w:cs="Times New Roman" w:eastAsia="Times New Roman" w:hAnsi="Times New Roman"/>
          <w:sz w:val="20"/>
          <w:szCs w:val="20"/>
          <w:color w:val="auto"/>
        </w:rPr>
        <w:t>As of December 31, 2025, the Company leased approximately 25,900 square feet of laboratory and office space in Redwood City, California, under an operating lease that expires in August 2026.</w:t>
      </w:r>
    </w:p>
    <w:p>
      <w:pPr>
        <w:spacing w:after="0" w:line="174"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In conjunction with signing the lease, the Company secured a letter of credit in favor of the lessor in the amount of $0.4 million. The funds related to this letter of credit are presented as restricted cash on the Company’s consolidated balance sheets. The lease agreement includes an escalation clause for increased base rent and a renewal provision allowing the Company to extend this lease for an additional 60 months at the prevailing rental rate, which the Company is not reasonably certain to exercise. In addition to base rent, the Company pays its share of operating expenses and taxes.</w:t>
      </w:r>
    </w:p>
    <w:p>
      <w:pPr>
        <w:spacing w:after="0" w:line="168" w:lineRule="exact"/>
        <w:rPr>
          <w:sz w:val="20"/>
          <w:szCs w:val="20"/>
          <w:color w:val="auto"/>
        </w:rPr>
      </w:pPr>
    </w:p>
    <w:p>
      <w:pPr>
        <w:jc w:val="both"/>
        <w:ind w:right="260" w:firstLine="480"/>
        <w:spacing w:after="0" w:line="246" w:lineRule="auto"/>
        <w:rPr>
          <w:sz w:val="20"/>
          <w:szCs w:val="20"/>
          <w:color w:val="auto"/>
        </w:rPr>
      </w:pPr>
      <w:r>
        <w:rPr>
          <w:rFonts w:ascii="Times New Roman" w:cs="Times New Roman" w:eastAsia="Times New Roman" w:hAnsi="Times New Roman"/>
          <w:sz w:val="20"/>
          <w:szCs w:val="20"/>
          <w:color w:val="auto"/>
        </w:rPr>
        <w:t>In March 2025, the Company extended its existing short-term lease for 12,500 square feet of laboratory and office space in Redwood City, California, through August 2026. As a result, the Company recorded a right-of-use asset and lease liability of $1.1 million in March 2025.</w:t>
      </w:r>
    </w:p>
    <w:p>
      <w:pPr>
        <w:spacing w:after="0" w:line="173"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In December 2025, in connection with the cessation of the Company’s vivarium operations and consolidation of personnel office space, the Company ceased use of a portion of its leased headquarters space. As a result, the right-of-use asset associated with that lease was impaired and the Company recognized an impairment loss of $0.4 million for the year ended December 31, 2025, recorded in research and development expense and general and administrative expense in the consolidated statements of operations and comprehensive loss in the amounts of $0.2 million each.</w:t>
      </w:r>
    </w:p>
    <w:p>
      <w:pPr>
        <w:spacing w:after="0" w:line="168" w:lineRule="exact"/>
        <w:rPr>
          <w:sz w:val="20"/>
          <w:szCs w:val="20"/>
          <w:color w:val="auto"/>
        </w:rPr>
      </w:pPr>
    </w:p>
    <w:p>
      <w:pPr>
        <w:ind w:right="40" w:firstLine="480"/>
        <w:spacing w:after="0" w:line="246" w:lineRule="auto"/>
        <w:rPr>
          <w:sz w:val="20"/>
          <w:szCs w:val="20"/>
          <w:color w:val="auto"/>
        </w:rPr>
      </w:pPr>
      <w:r>
        <w:rPr>
          <w:rFonts w:ascii="Times New Roman" w:cs="Times New Roman" w:eastAsia="Times New Roman" w:hAnsi="Times New Roman"/>
          <w:sz w:val="20"/>
          <w:szCs w:val="20"/>
          <w:color w:val="auto"/>
        </w:rPr>
        <w:t>The Company also pays variable costs related to its share of operating expenses and taxes. These variable costs are recorded as lease expense as incurred and presented as operating expenses in the consolidated statements of operations and comprehensive loss.</w:t>
      </w:r>
    </w:p>
    <w:p>
      <w:pPr>
        <w:spacing w:after="0" w:line="173" w:lineRule="exact"/>
        <w:rPr>
          <w:sz w:val="20"/>
          <w:szCs w:val="20"/>
          <w:color w:val="auto"/>
        </w:rPr>
      </w:pPr>
    </w:p>
    <w:p>
      <w:pPr>
        <w:ind w:right="180" w:firstLine="480"/>
        <w:spacing w:after="0" w:line="243" w:lineRule="auto"/>
        <w:rPr>
          <w:sz w:val="20"/>
          <w:szCs w:val="20"/>
          <w:color w:val="auto"/>
        </w:rPr>
      </w:pPr>
      <w:r>
        <w:rPr>
          <w:rFonts w:ascii="Times New Roman" w:cs="Times New Roman" w:eastAsia="Times New Roman" w:hAnsi="Times New Roman"/>
          <w:sz w:val="20"/>
          <w:szCs w:val="20"/>
          <w:color w:val="auto"/>
        </w:rPr>
        <w:t>The components of lease costs, which were included in the Company’s consolidated statements of operations and comprehensive loss,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auto"/>
            </w:tcBorders>
            <w:gridSpan w:val="5"/>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8"/>
        </w:trPr>
        <w:tc>
          <w:tcPr>
            <w:tcW w:w="6440" w:type="dxa"/>
            <w:vAlign w:val="bottom"/>
          </w:tcPr>
          <w:p>
            <w:pPr>
              <w:jc w:val="right"/>
              <w:ind w:right="5460"/>
              <w:spacing w:after="0"/>
              <w:rPr>
                <w:sz w:val="20"/>
                <w:szCs w:val="20"/>
                <w:color w:val="auto"/>
              </w:rPr>
            </w:pPr>
            <w:r>
              <w:rPr>
                <w:rFonts w:ascii="Times New Roman" w:cs="Times New Roman" w:eastAsia="Times New Roman" w:hAnsi="Times New Roman"/>
                <w:sz w:val="20"/>
                <w:szCs w:val="20"/>
                <w:b w:val="1"/>
                <w:bCs w:val="1"/>
                <w:color w:val="auto"/>
                <w:w w:val="98"/>
              </w:rPr>
              <w:t>Lease cost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Operating lease cost . . . . . . . . . . . . . . . . . . . . . . . . . . . . . . . . . . . . . . . . . . . . . . .</w:t>
            </w: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1,314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Short-term lease cost . . . . . . . . . . .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Variable lease cost . . . . . . . . . . . . . . . . . . . . . . . . . . . . . . . . . . . . . . . . . . . . . . . .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438</w:t>
            </w: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 . . . . . . .</w:t>
            </w:r>
            <w:r>
              <w:rPr>
                <w:rFonts w:ascii="Times New Roman" w:cs="Times New Roman" w:eastAsia="Times New Roman" w:hAnsi="Times New Roman"/>
                <w:sz w:val="20"/>
                <w:szCs w:val="20"/>
                <w:b w:val="1"/>
                <w:bCs w:val="1"/>
                <w:color w:val="auto"/>
              </w:rPr>
              <w:t>Totalleasecost</w:t>
            </w:r>
            <w:r>
              <w:rPr>
                <w:rFonts w:ascii="Times New Roman" w:cs="Times New Roman" w:eastAsia="Times New Roman" w:hAnsi="Times New Roman"/>
                <w:sz w:val="20"/>
                <w:szCs w:val="20"/>
                <w:color w:val="auto"/>
              </w:rPr>
              <w:t>..</w:t>
            </w:r>
          </w:p>
        </w:tc>
        <w:tc>
          <w:tcPr>
            <w:tcW w:w="900" w:type="dxa"/>
            <w:vAlign w:val="bottom"/>
            <w:gridSpan w:val="3"/>
          </w:tcPr>
          <w:p>
            <w:pPr>
              <w:jc w:val="right"/>
              <w:ind w:right="610"/>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2,157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1,464</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360"/>
          </w:cols>
          <w:pgMar w:left="1440" w:top="941" w:right="1440" w:bottom="353"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COMMITMENTS AND CONTINGENCIES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Supplemental information related to the Company’s operating leases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4"/>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r>
      <w:tr>
        <w:trPr>
          <w:trHeight w:val="245"/>
        </w:trPr>
        <w:tc>
          <w:tcPr>
            <w:tcW w:w="6440" w:type="dxa"/>
            <w:vAlign w:val="bottom"/>
          </w:tcPr>
          <w:p>
            <w:pPr>
              <w:jc w:val="right"/>
              <w:ind w:right="720"/>
              <w:spacing w:after="0"/>
              <w:rPr>
                <w:sz w:val="20"/>
                <w:szCs w:val="20"/>
                <w:color w:val="auto"/>
              </w:rPr>
            </w:pPr>
            <w:r>
              <w:rPr>
                <w:rFonts w:ascii="Times New Roman" w:cs="Times New Roman" w:eastAsia="Times New Roman" w:hAnsi="Times New Roman"/>
                <w:sz w:val="20"/>
                <w:szCs w:val="20"/>
                <w:color w:val="auto"/>
                <w:w w:val="99"/>
              </w:rPr>
              <w:t>Cash paid for amounts included in the measurement of lease liabilities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3"/>
        </w:trPr>
        <w:tc>
          <w:tcPr>
            <w:tcW w:w="64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(in thousands) . . . . . . . . . . . . . . . . . . . . . . . . . . . . . . . . . . . . . . . . . . . . . . . . . .</w:t>
            </w:r>
          </w:p>
        </w:tc>
        <w:tc>
          <w:tcPr>
            <w:tcW w:w="340" w:type="dxa"/>
            <w:vAlign w:val="bottom"/>
            <w:gridSpan w:val="2"/>
          </w:tcPr>
          <w:p>
            <w:pPr>
              <w:jc w:val="right"/>
              <w:ind w:right="140"/>
              <w:spacing w:after="0" w:line="223" w:lineRule="exact"/>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1,823</w:t>
            </w:r>
          </w:p>
        </w:tc>
        <w:tc>
          <w:tcPr>
            <w:tcW w:w="140" w:type="dxa"/>
            <w:vAlign w:val="bottom"/>
          </w:tcPr>
          <w:p>
            <w:pPr>
              <w:spacing w:after="0"/>
              <w:rPr>
                <w:sz w:val="19"/>
                <w:szCs w:val="19"/>
                <w:color w:val="auto"/>
              </w:rPr>
            </w:pPr>
          </w:p>
        </w:tc>
        <w:tc>
          <w:tcPr>
            <w:tcW w:w="320" w:type="dxa"/>
            <w:vAlign w:val="bottom"/>
            <w:gridSpan w:val="2"/>
          </w:tcPr>
          <w:p>
            <w:pPr>
              <w:jc w:val="right"/>
              <w:ind w:right="180"/>
              <w:spacing w:after="0" w:line="223"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1,153</w:t>
            </w:r>
          </w:p>
        </w:tc>
        <w:tc>
          <w:tcPr>
            <w:tcW w:w="120" w:type="dxa"/>
            <w:vAlign w:val="bottom"/>
          </w:tcPr>
          <w:p>
            <w:pPr>
              <w:spacing w:after="0"/>
              <w:rPr>
                <w:sz w:val="19"/>
                <w:szCs w:val="19"/>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Weighted average remaining lease term (years)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0.64</w:t>
            </w: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12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Weighted average discount rate . . . . . . . . . . . . . . . . . . . . . . . . . . . . . . . . . . . . . .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8.00%</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8.00%</w:t>
            </w:r>
          </w:p>
        </w:tc>
      </w:tr>
    </w:tbl>
    <w:p>
      <w:pPr>
        <w:spacing w:after="0" w:line="157" w:lineRule="exact"/>
        <w:rPr>
          <w:sz w:val="20"/>
          <w:szCs w:val="20"/>
          <w:color w:val="auto"/>
        </w:rPr>
      </w:pPr>
    </w:p>
    <w:p>
      <w:pPr>
        <w:ind w:right="24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summarizes a maturity analysis of the Company’s operating lease liabilities showing the aggregate lease payments as of December 31, 2025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8"/>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Year Ending December 31, 2026 . . . . . . . . . . . . . . . . . . . . . . . . . . . . . . . . . . . . . . . . . . . . . . . . . . . .</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1,260</w:t>
            </w:r>
          </w:p>
        </w:tc>
        <w:tc>
          <w:tcPr>
            <w:tcW w:w="60" w:type="dxa"/>
            <w:vAlign w:val="bottom"/>
          </w:tcPr>
          <w:p>
            <w:pPr>
              <w:spacing w:after="0"/>
              <w:rPr>
                <w:sz w:val="21"/>
                <w:szCs w:val="21"/>
                <w:color w:val="auto"/>
              </w:rPr>
            </w:pP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undiscounted lease payments . . . . . . . . . . . . . . . . . . . . . . . . . . . . . . . . . . . . . . . . . . . . . . . . .</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w:t>
            </w:r>
          </w:p>
        </w:tc>
        <w:tc>
          <w:tcPr>
            <w:tcW w:w="60" w:type="dxa"/>
            <w:vAlign w:val="bottom"/>
          </w:tcPr>
          <w:p>
            <w:pPr>
              <w:spacing w:after="0"/>
              <w:rPr>
                <w:sz w:val="20"/>
                <w:szCs w:val="20"/>
                <w:color w:val="auto"/>
              </w:rPr>
            </w:pP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Less imputed interest . . . . . . . . . . . . . . . . . . . . . . . . . . . . . . . . . . . . . . . . . . . . . . . . . . . . . . . . . . . . .</w:t>
            </w: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39"/>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discounted lease payments . . . . . . . . . . . . . . . . . . . . . . . . . . . . . . . . . . . . . . . . . . . . . . . . . . .</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1,235</w:t>
            </w:r>
          </w:p>
        </w:tc>
        <w:tc>
          <w:tcPr>
            <w:tcW w:w="60" w:type="dxa"/>
            <w:vAlign w:val="bottom"/>
          </w:tcPr>
          <w:p>
            <w:pPr>
              <w:spacing w:after="0"/>
              <w:rPr>
                <w:sz w:val="20"/>
                <w:szCs w:val="20"/>
                <w:color w:val="auto"/>
              </w:rPr>
            </w:pPr>
          </w:p>
        </w:tc>
      </w:tr>
      <w:tr>
        <w:trPr>
          <w:trHeight w:val="261"/>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Less current portion of lease liability . . . . . . . . . . . . . . . . . . . . . . . . . . . . . . . . . . . . . . . . . . . . . . . . .</w:t>
            </w:r>
          </w:p>
        </w:tc>
        <w:tc>
          <w:tcPr>
            <w:tcW w:w="20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(1,235)</w:t>
            </w:r>
          </w:p>
        </w:tc>
      </w:tr>
      <w:tr>
        <w:trPr>
          <w:trHeight w:val="240"/>
        </w:trPr>
        <w:tc>
          <w:tcPr>
            <w:tcW w:w="79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Noncurrent portion of lease liability . . . . . . . . . . . . . . . . . . . . . . . . . . . . . . . . . . . . . . . . . . . . . . . .</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177"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In March 2021, the Company entered into the 2021 Stanford License Agreement (Note 6), which was amended in July 2023, pursuant to which the Company is required to pay annual license maintenance fees, clinical development and commercial sales milestone payments of up to an aggregate of $9.0 million, and low single-digit royalties on net sales of licensed products. All products were in development as of December 31, 2025, and no royalties were due as of such date. The Company paid $35,000 in annual license maintenance fees in each of April 2025 and March 2024, which were recognized as a research and development expense in the consolidated statements of operations and comprehensive loss for the years ended December 31, 2025 and 2024. As of December 31, 2025 and 2024, no milestones were probable to be achieved and payable.</w:t>
      </w:r>
    </w:p>
    <w:p>
      <w:pPr>
        <w:spacing w:after="0" w:line="200" w:lineRule="exact"/>
        <w:rPr>
          <w:sz w:val="20"/>
          <w:szCs w:val="20"/>
          <w:color w:val="auto"/>
        </w:rPr>
      </w:pPr>
    </w:p>
    <w:p>
      <w:pPr>
        <w:spacing w:after="0" w:line="211"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In December 2024, the Company entered into the 2024 Stanford License Agreement (Note 6), pursuant to which the Company is required to pay a license issue and annual license maintenance fees, clinical development and commercial sales milestone payments of up to an aggregate of $8.3 million and low single-digit royalties on net sales of licensed products. As of December 31, 2025, the Company recognized $25,000 related to the annual license maintenance fee as research and development expense in the statement of operations and comprehensive loss and as accounts payable in the consolidated balance sheet. All products were in development as of December 31, 2025, and no royalties were due as of such date. As of December 31, 2025, no milestones were probable to be achieved and payable.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77" w:lineRule="exact"/>
        <w:rPr>
          <w:sz w:val="20"/>
          <w:szCs w:val="20"/>
          <w:color w:val="auto"/>
        </w:rPr>
      </w:pPr>
    </w:p>
    <w:p>
      <w:pPr>
        <w:ind w:right="640" w:firstLine="480"/>
        <w:spacing w:after="0" w:line="243" w:lineRule="auto"/>
        <w:rPr>
          <w:sz w:val="20"/>
          <w:szCs w:val="20"/>
          <w:color w:val="auto"/>
        </w:rPr>
      </w:pPr>
      <w:r>
        <w:rPr>
          <w:rFonts w:ascii="Times New Roman" w:cs="Times New Roman" w:eastAsia="Times New Roman" w:hAnsi="Times New Roman"/>
          <w:sz w:val="20"/>
          <w:szCs w:val="20"/>
          <w:color w:val="auto"/>
        </w:rPr>
        <w:t xml:space="preserve">The Company, from time to time, may be party to litigation arising in the ordinary course of business. On September 19, 2025, a shareholder class action complaint captioned </w:t>
      </w:r>
      <w:r>
        <w:rPr>
          <w:rFonts w:ascii="Times New Roman" w:cs="Times New Roman" w:eastAsia="Times New Roman" w:hAnsi="Times New Roman"/>
          <w:sz w:val="20"/>
          <w:szCs w:val="20"/>
          <w:i w:val="1"/>
          <w:iCs w:val="1"/>
          <w:color w:val="auto"/>
        </w:rPr>
        <w:t>Grant v. Jasper Therapeutics, Inc.,</w:t>
      </w:r>
    </w:p>
    <w:p>
      <w:pPr>
        <w:spacing w:after="0" w:line="1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et al. </w:t>
      </w:r>
      <w:r>
        <w:rPr>
          <w:rFonts w:ascii="Times New Roman" w:cs="Times New Roman" w:eastAsia="Times New Roman" w:hAnsi="Times New Roman"/>
          <w:sz w:val="20"/>
          <w:szCs w:val="20"/>
          <w:color w:val="auto"/>
        </w:rPr>
        <w:t>(Case No. 25-cv-08010) was filed in the United States District Court for the Northern District of California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against us and certain of the Company’s current and former officers. The complaint alleges that certain material misstatements or omissions related to the ongoing clinical trials of briquilimab were made in violation of federal securities laws. The plaintiffs are seeking unspecified monetary damages and an award of costs and expenses, including reasonable attorneys’ fees, expert fees and other costs. On December 3, 2025, a stipulated order was entered appointing co-lead plaintiffs and approving their selection of co-lead counsel, and on December 16, 2025, a</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360"/>
          </w:cols>
          <w:pgMar w:left="1440" w:top="941" w:right="1440" w:bottom="353" w:gutter="0" w:footer="0" w:header="0"/>
          <w:type w:val="continuous"/>
        </w:sectPr>
      </w:pPr>
    </w:p>
    <w:bookmarkStart w:id="131" w:name="page132"/>
    <w:bookmarkEnd w:id="131"/>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8. COMMITMENTS AND CONTINGENCIES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 xml:space="preserve">stipulated order was entered setting a schedule for the filing and responses to an amended complaint. Per the terms of the December 16, 2025 stipulated order, an amended complaint captioned </w:t>
      </w:r>
      <w:r>
        <w:rPr>
          <w:rFonts w:ascii="Times New Roman" w:cs="Times New Roman" w:eastAsia="Times New Roman" w:hAnsi="Times New Roman"/>
          <w:sz w:val="20"/>
          <w:szCs w:val="20"/>
          <w:i w:val="1"/>
          <w:iCs w:val="1"/>
          <w:color w:val="auto"/>
        </w:rPr>
        <w:t>Allard, et al. v. Jasper Therapeutics,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Inc., et al. </w:t>
      </w:r>
      <w:r>
        <w:rPr>
          <w:rFonts w:ascii="Times New Roman" w:cs="Times New Roman" w:eastAsia="Times New Roman" w:hAnsi="Times New Roman"/>
          <w:sz w:val="20"/>
          <w:szCs w:val="20"/>
          <w:color w:val="auto"/>
        </w:rPr>
        <w:t>(Case No. 25-cv-08010) was filed, and defendants’ responses to that amended complaint are due on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about April 20, 2026.</w:t>
      </w:r>
    </w:p>
    <w:p>
      <w:pPr>
        <w:spacing w:after="0" w:line="169" w:lineRule="exact"/>
        <w:rPr>
          <w:sz w:val="20"/>
          <w:szCs w:val="20"/>
          <w:color w:val="auto"/>
        </w:rPr>
      </w:pPr>
    </w:p>
    <w:p>
      <w:pPr>
        <w:ind w:right="220" w:firstLine="480"/>
        <w:spacing w:after="0" w:line="249" w:lineRule="auto"/>
        <w:rPr>
          <w:sz w:val="20"/>
          <w:szCs w:val="20"/>
          <w:color w:val="auto"/>
        </w:rPr>
      </w:pPr>
      <w:r>
        <w:rPr>
          <w:rFonts w:ascii="Times New Roman" w:cs="Times New Roman" w:eastAsia="Times New Roman" w:hAnsi="Times New Roman"/>
          <w:sz w:val="20"/>
          <w:szCs w:val="20"/>
          <w:color w:val="auto"/>
        </w:rPr>
        <w:t xml:space="preserve">In addition, on November 5, 2025, a shareholder derivative complaint captioned </w:t>
      </w:r>
      <w:r>
        <w:rPr>
          <w:rFonts w:ascii="Times New Roman" w:cs="Times New Roman" w:eastAsia="Times New Roman" w:hAnsi="Times New Roman"/>
          <w:sz w:val="20"/>
          <w:szCs w:val="20"/>
          <w:i w:val="1"/>
          <w:iCs w:val="1"/>
          <w:color w:val="auto"/>
        </w:rPr>
        <w:t>Bardauskas v. Martell, 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al</w:t>
      </w:r>
      <w:r>
        <w:rPr>
          <w:rFonts w:ascii="Times New Roman" w:cs="Times New Roman" w:eastAsia="Times New Roman" w:hAnsi="Times New Roman"/>
          <w:sz w:val="20"/>
          <w:szCs w:val="20"/>
          <w:color w:val="auto"/>
        </w:rPr>
        <w:t>. (Case No. 25-cv-09561) was filed in the United States District Court for the Northern District of California,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and on December 22, 2025, another shareholder derivative complaint was filed in the same court and captioned </w:t>
      </w:r>
      <w:r>
        <w:rPr>
          <w:rFonts w:ascii="Times New Roman" w:cs="Times New Roman" w:eastAsia="Times New Roman" w:hAnsi="Times New Roman"/>
          <w:sz w:val="20"/>
          <w:szCs w:val="20"/>
          <w:i w:val="1"/>
          <w:iCs w:val="1"/>
          <w:color w:val="auto"/>
        </w:rPr>
        <w:t xml:space="preserve">Walsh v. Martell, et al. </w:t>
      </w:r>
      <w:r>
        <w:rPr>
          <w:rFonts w:ascii="Times New Roman" w:cs="Times New Roman" w:eastAsia="Times New Roman" w:hAnsi="Times New Roman"/>
          <w:sz w:val="20"/>
          <w:szCs w:val="20"/>
          <w:color w:val="auto"/>
        </w:rPr>
        <w:t>(Case No. 25-cv-10899). The derivative complaints name as defendants certain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current and former officers and directors, and allege claims related to the allegations raised in the shareholder class action complaint. On January 21, 2026, a stipulated order was entered, among other things, consolidating and staying the derivative actions. The Company believes the claims raised in these lawsuits are without merit, and intends to defend these matters vigorously. However, there can be no assurance that the Company will prevail. The Company is unable to determine whether any loss ultimately will occur or to estimate the range of such loss; therefore, no amount of loss has been accrued in the Company’s financial statements as of and for the year ended December 31, 2025. Regardless of outcome, litigation can have an adverse impact on the Company due to costs involved, diversion of management resources, negative publicity, reputational harm, and other factors.</w:t>
      </w:r>
    </w:p>
    <w:p>
      <w:pPr>
        <w:spacing w:after="0" w:line="178" w:lineRule="exact"/>
        <w:rPr>
          <w:sz w:val="20"/>
          <w:szCs w:val="20"/>
          <w:color w:val="auto"/>
        </w:rPr>
      </w:pPr>
    </w:p>
    <w:p>
      <w:pPr>
        <w:ind w:right="200" w:firstLine="480"/>
        <w:spacing w:after="0" w:line="246" w:lineRule="auto"/>
        <w:rPr>
          <w:sz w:val="20"/>
          <w:szCs w:val="20"/>
          <w:color w:val="auto"/>
        </w:rPr>
      </w:pPr>
      <w:r>
        <w:rPr>
          <w:rFonts w:ascii="Times New Roman" w:cs="Times New Roman" w:eastAsia="Times New Roman" w:hAnsi="Times New Roman"/>
          <w:sz w:val="20"/>
          <w:szCs w:val="20"/>
          <w:color w:val="auto"/>
        </w:rPr>
        <w:t>The Company believes that it is not currently a party to any other legal proceedings which, individually or in the aggregate, would have a material adverse effect on its consolidated financial position, results of operations or cash flows.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Guarantees and Indemnifications</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2025 and 2024, the Company does not have any material indemnification claims that were probable or reasonably possible and consequently has not recorded related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COMMON STOCK</w:t>
      </w:r>
    </w:p>
    <w:p>
      <w:pPr>
        <w:spacing w:after="0" w:line="177" w:lineRule="exact"/>
        <w:rPr>
          <w:sz w:val="20"/>
          <w:szCs w:val="20"/>
          <w:color w:val="auto"/>
        </w:rPr>
      </w:pPr>
    </w:p>
    <w:p>
      <w:pPr>
        <w:ind w:right="300" w:firstLine="480"/>
        <w:spacing w:after="0" w:line="248" w:lineRule="auto"/>
        <w:rPr>
          <w:sz w:val="20"/>
          <w:szCs w:val="20"/>
          <w:color w:val="auto"/>
        </w:rPr>
      </w:pPr>
      <w:r>
        <w:rPr>
          <w:rFonts w:ascii="Times New Roman" w:cs="Times New Roman" w:eastAsia="Times New Roman" w:hAnsi="Times New Roman"/>
          <w:sz w:val="20"/>
          <w:szCs w:val="20"/>
          <w:color w:val="auto"/>
        </w:rPr>
        <w:t>The Company is authorized to issue 490,000,000 shares of voting common stock, 2,000,000 shares of non-voting common stock, and 10,000,000 shares of undesignated preferred stock. There were 27,996,819 shares of voting common stock, no shares of non-voting common stock and no shares of preferred stock issued and outstanding as of December 31, 2025.</w:t>
      </w:r>
    </w:p>
    <w:p>
      <w:pPr>
        <w:spacing w:after="0" w:line="169"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Holders of the voting common stock and the non-voting common stock have similar rights, except that non-voting stockholders are not entitled to vote, including for the election of directors. Holders of voting common stock do not have conversion rights, while holders of non-voting common stock have the right to convert each share of non-voting common stock held by such holder into one share of voting common stock at such holder’s election by providing written notice to the Company, provided that as a result of such conversion, such holder, together with its affiliates, would not beneficially own in excess of 9.9% of the Company’s voting common stock following such conversion. There were no outstanding shares of non-voting common stock as of December 31, 2025 and 2024.</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360"/>
          </w:cols>
          <w:pgMar w:left="1440" w:top="941" w:right="1440" w:bottom="353" w:gutter="0" w:footer="0" w:header="0"/>
          <w:type w:val="continuous"/>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COMMON STOCK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and 2024, the Company had common stock reserved for future issuance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8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6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and issued common stock options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2,246,206</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1,628,378</w:t>
            </w: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and issued restricted stock units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198,900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Outstanding and issued performance-based restricted stock units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r>
      <w:tr>
        <w:trPr>
          <w:trHeight w:val="297"/>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issuable upon exercise of Public Warrants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499,986</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499,986</w:t>
            </w:r>
          </w:p>
        </w:tc>
      </w:tr>
      <w:tr>
        <w:trPr>
          <w:trHeight w:val="223"/>
        </w:trPr>
        <w:tc>
          <w:tcPr>
            <w:tcW w:w="65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Shares issuable upon exercise of Common Warrants . . . . . . . . . . . . . . . . . . . . . .</w:t>
            </w:r>
          </w:p>
        </w:tc>
        <w:tc>
          <w:tcPr>
            <w:tcW w:w="12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12,345,707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issuable upon exercise of Pre-Funded Warrants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675,000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available for grant under Equity Incentive Plans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843,360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1,791,291</w:t>
            </w:r>
          </w:p>
        </w:tc>
      </w:tr>
      <w:tr>
        <w:trPr>
          <w:trHeight w:val="26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available for grant under Employee Stock Purchase Plans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920,827</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981,370</w:t>
            </w:r>
          </w:p>
        </w:tc>
      </w:tr>
      <w:tr>
        <w:trPr>
          <w:trHeight w:val="261"/>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Shares available for grant under 2022 Inducement Equity Incentive Plan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132,769</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16,885</w:t>
            </w:r>
          </w:p>
        </w:tc>
      </w:tr>
      <w:tr>
        <w:trPr>
          <w:trHeight w:val="240"/>
        </w:trPr>
        <w:tc>
          <w:tcPr>
            <w:tcW w:w="65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shares of common stock reserved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17,882,755</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4,937,910</w:t>
            </w:r>
          </w:p>
        </w:tc>
      </w:tr>
      <w:tr>
        <w:trPr>
          <w:trHeight w:val="20"/>
        </w:trPr>
        <w:tc>
          <w:tcPr>
            <w:tcW w:w="8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1"/>
        </w:trPr>
        <w:tc>
          <w:tcPr>
            <w:tcW w:w="880" w:type="dxa"/>
            <w:vAlign w:val="bottom"/>
            <w:tcBorders>
              <w:bottom w:val="single" w:sz="8" w:color="auto"/>
            </w:tcBorders>
          </w:tcPr>
          <w:p>
            <w:pPr>
              <w:spacing w:after="0"/>
              <w:rPr>
                <w:sz w:val="3"/>
                <w:szCs w:val="3"/>
                <w:color w:val="auto"/>
              </w:rPr>
            </w:pPr>
          </w:p>
        </w:tc>
        <w:tc>
          <w:tcPr>
            <w:tcW w:w="56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r>
    </w:tbl>
    <w:p>
      <w:pPr>
        <w:spacing w:after="0" w:line="83" w:lineRule="exact"/>
        <w:rPr>
          <w:sz w:val="20"/>
          <w:szCs w:val="20"/>
          <w:color w:val="auto"/>
        </w:rPr>
      </w:pPr>
    </w:p>
    <w:p>
      <w:pPr>
        <w:ind w:left="480" w:right="120" w:hanging="480"/>
        <w:spacing w:after="0" w:line="252" w:lineRule="auto"/>
        <w:tabs>
          <w:tab w:leader="none" w:pos="4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4,999,863 outstanding warrants to purchase an aggregate of 499,986 shares of its common stock (the “Public Warrants”). A holder may purchase one share of the Company’s common stock for every ten Public Warrants at an exercise price of $115.00 per share. The Public Warrants are publicly traded and exercisable during the exercise period, which commenced on October 24, 2021 and ends on September 24, 2026, for cash or, in certain circumstances, on a cashless basis. The Public Warrants were reclassified to equity in January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Shelf Registration Statement</w:t>
      </w:r>
    </w:p>
    <w:p>
      <w:pPr>
        <w:spacing w:after="0" w:line="177" w:lineRule="exact"/>
        <w:rPr>
          <w:sz w:val="20"/>
          <w:szCs w:val="20"/>
          <w:color w:val="auto"/>
        </w:rPr>
      </w:pPr>
    </w:p>
    <w:p>
      <w:pPr>
        <w:ind w:right="100" w:firstLine="480"/>
        <w:spacing w:after="0" w:line="248" w:lineRule="auto"/>
        <w:rPr>
          <w:sz w:val="20"/>
          <w:szCs w:val="20"/>
          <w:color w:val="auto"/>
        </w:rPr>
      </w:pPr>
      <w:r>
        <w:rPr>
          <w:rFonts w:ascii="Times New Roman" w:cs="Times New Roman" w:eastAsia="Times New Roman" w:hAnsi="Times New Roman"/>
          <w:sz w:val="20"/>
          <w:szCs w:val="20"/>
          <w:color w:val="auto"/>
        </w:rPr>
        <w:t>On April 28, 2023, the Company filed a shelf registration statement on Form S-3 (the “Prior S-3”) with the SEC, which was declared effective on May 5, 2023. The Company could sell from time to time up to $250.0 million of common stock, preferred stock, debt securities, warrants, rights, units or depositary shares comprised of any combination of these securities, for the Company’s own account in one or more offerings under the Prior S-3.</w:t>
      </w:r>
    </w:p>
    <w:p>
      <w:pPr>
        <w:spacing w:after="0" w:line="169" w:lineRule="exact"/>
        <w:rPr>
          <w:sz w:val="20"/>
          <w:szCs w:val="20"/>
          <w:color w:val="auto"/>
        </w:rPr>
      </w:pPr>
    </w:p>
    <w:p>
      <w:pPr>
        <w:jc w:val="both"/>
        <w:ind w:right="40" w:firstLine="480"/>
        <w:spacing w:after="0" w:line="249" w:lineRule="auto"/>
        <w:rPr>
          <w:sz w:val="20"/>
          <w:szCs w:val="20"/>
          <w:color w:val="auto"/>
        </w:rPr>
      </w:pPr>
      <w:r>
        <w:rPr>
          <w:rFonts w:ascii="Times New Roman" w:cs="Times New Roman" w:eastAsia="Times New Roman" w:hAnsi="Times New Roman"/>
          <w:sz w:val="20"/>
          <w:szCs w:val="20"/>
          <w:color w:val="auto"/>
        </w:rPr>
        <w:t>On March 19, 2025, the Company filed a new shelf registration statement on Form S-3 (the “New S-3”) with the SEC, which was declared effective on March 26, 2025 and superseded the Prior S-3. As of December 31, 2025, the Company can sell up to $263.5 million of common stock, preferred stock, debt securities, warrants, rights, units and depositary shares comprised of any combination of these securities in one or more offerings under the New S-3. The terms of any offering under the New S-3 will be established at the time of such offering and will be described in a prospectus supplement to the New S-3 filed with the SEC prior to the completion of any such offering.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ATM Offerings</w:t>
      </w:r>
    </w:p>
    <w:p>
      <w:pPr>
        <w:spacing w:after="0" w:line="177" w:lineRule="exact"/>
        <w:rPr>
          <w:sz w:val="20"/>
          <w:szCs w:val="20"/>
          <w:color w:val="auto"/>
        </w:rPr>
      </w:pPr>
    </w:p>
    <w:p>
      <w:pPr>
        <w:ind w:right="200" w:firstLine="480"/>
        <w:spacing w:after="0" w:line="257" w:lineRule="auto"/>
        <w:rPr>
          <w:sz w:val="20"/>
          <w:szCs w:val="20"/>
          <w:color w:val="auto"/>
        </w:rPr>
      </w:pPr>
      <w:r>
        <w:rPr>
          <w:rFonts w:ascii="Times New Roman" w:cs="Times New Roman" w:eastAsia="Times New Roman" w:hAnsi="Times New Roman"/>
          <w:sz w:val="19"/>
          <w:szCs w:val="19"/>
          <w:color w:val="auto"/>
        </w:rPr>
        <w:t>On March 19, 2025, the Company entered into an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9"/>
          <w:szCs w:val="19"/>
          <w:color w:val="auto"/>
        </w:rPr>
        <w:t xml:space="preserve"> with Jefferies LLC (“Jefferies”), pursuant to which the Company may offer and sell through or to Jefferies, as sales agent or principal, shares of common stock from time to time (the “ATM Offering”). On March 26, 2025, the Company filed with the SEC a prospectus under the New S-3 in connection with the ATM Offering (the “ATM Prospectus”), pursuant to which the Company may offer and sell shares of common stock having an aggregate offering price of up to $100.0 million. As of December 31, 2025, the Company issued and sold an aggregate of 1,231,447 shares of common stock for net proceeds of approximately $6.5 million pursuant to the ATM Prospectus.</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$93.5 million remained available under the ATM Prospectus.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360"/>
          </w:cols>
          <w:pgMar w:left="1440" w:top="941" w:right="1440" w:bottom="353" w:gutter="0" w:footer="0" w:header="0"/>
          <w:type w:val="continuous"/>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9. COMMON STOCK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Underwritten Offerings</w:t>
      </w:r>
    </w:p>
    <w:p>
      <w:pPr>
        <w:spacing w:after="0" w:line="177" w:lineRule="exact"/>
        <w:rPr>
          <w:sz w:val="20"/>
          <w:szCs w:val="20"/>
          <w:color w:val="auto"/>
        </w:rPr>
      </w:pPr>
    </w:p>
    <w:p>
      <w:pPr>
        <w:jc w:val="both"/>
        <w:ind w:right="140" w:firstLine="480"/>
        <w:spacing w:after="0" w:line="248" w:lineRule="auto"/>
        <w:rPr>
          <w:sz w:val="20"/>
          <w:szCs w:val="20"/>
          <w:color w:val="auto"/>
        </w:rPr>
      </w:pPr>
      <w:r>
        <w:rPr>
          <w:rFonts w:ascii="Times New Roman" w:cs="Times New Roman" w:eastAsia="Times New Roman" w:hAnsi="Times New Roman"/>
          <w:sz w:val="20"/>
          <w:szCs w:val="20"/>
          <w:color w:val="auto"/>
        </w:rPr>
        <w:t>In February 2024, the Company entered into an underwriting agreement with Cowen and Company, LLC and Evercore Group L.L.C., as the representatives of the several underwriters named therein, related to an underwritten offering under the Prior S-3 of 3,900,000 shares of common stock. The Company received net proceeds of $47.2 million.</w:t>
      </w:r>
    </w:p>
    <w:p>
      <w:pPr>
        <w:spacing w:after="0" w:line="169" w:lineRule="exact"/>
        <w:rPr>
          <w:sz w:val="20"/>
          <w:szCs w:val="20"/>
          <w:color w:val="auto"/>
        </w:rPr>
      </w:pPr>
    </w:p>
    <w:p>
      <w:pPr>
        <w:ind w:right="40" w:firstLine="480"/>
        <w:spacing w:after="0" w:line="248" w:lineRule="auto"/>
        <w:rPr>
          <w:sz w:val="20"/>
          <w:szCs w:val="20"/>
          <w:color w:val="auto"/>
        </w:rPr>
      </w:pPr>
      <w:r>
        <w:rPr>
          <w:rFonts w:ascii="Times New Roman" w:cs="Times New Roman" w:eastAsia="Times New Roman" w:hAnsi="Times New Roman"/>
          <w:sz w:val="20"/>
          <w:szCs w:val="20"/>
          <w:color w:val="auto"/>
        </w:rPr>
        <w:t>On September 18, 2025, the Company entered into an underwriting agreement with TD Securities (USA) LLC as the representative of the several underwriters, relating to an underwritten public offering under the New S-3 of an aggregate of 11,670,707 shares of common stock, Pre-Funded Warrants to purchase 675,000 shares of common stock and Common Warrants to purchase 12,345,707 shares of common stock. The Company received net proceeds of $27.5 million.</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$170.0 million remained available and unallocated under the New S-3.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STOCK-BASED COMPENSATION</w:t>
      </w:r>
    </w:p>
    <w:p>
      <w:pPr>
        <w:spacing w:after="0" w:line="177"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On June 6, 2024, the Company’s 2024 Equity Incentive Plan (the “2024 Plan”) and the 2024 Employee Stock Purchase Plan (the “2024 ESPP”) were approved by its stockholders and became effective, superseding and replacing the Company’s 2021 Equity Incentive Plan (the “2021 Plan”) and the 2021 Employee Stock Purchase Plan (the “2021 ESPP”), respectively. No further awards or purchase rights will be granted under the 2021 Plan or the 2021 ESPP.</w:t>
      </w:r>
    </w:p>
    <w:p>
      <w:pPr>
        <w:spacing w:after="0" w:line="172" w:lineRule="exact"/>
        <w:rPr>
          <w:sz w:val="20"/>
          <w:szCs w:val="20"/>
          <w:color w:val="auto"/>
        </w:rPr>
      </w:pPr>
    </w:p>
    <w:p>
      <w:pPr>
        <w:ind w:firstLine="480"/>
        <w:spacing w:after="0" w:line="264" w:lineRule="auto"/>
        <w:rPr>
          <w:sz w:val="20"/>
          <w:szCs w:val="20"/>
          <w:color w:val="auto"/>
        </w:rPr>
      </w:pPr>
      <w:r>
        <w:rPr>
          <w:rFonts w:ascii="Times New Roman" w:cs="Times New Roman" w:eastAsia="Times New Roman" w:hAnsi="Times New Roman"/>
          <w:sz w:val="19"/>
          <w:szCs w:val="19"/>
          <w:color w:val="auto"/>
        </w:rPr>
        <w:t>Under the 2024 Plan, the Company can grant incentive stock options, nonstatutory stock options, restricted stock awards, stock appreciation rights, restricted stock units (“RSUs”), performance restricted stock units (“PSUs”), and other stock-based awards to employees, directors, and consultants. Under the 2024 ESPP, the Company can grant purchase rights to employees to purchase shares of common stock at a purchase price which is equal to 85% of the fair market value of common stock on the offering date or on the exercise date, whichever is lower.</w:t>
      </w:r>
    </w:p>
    <w:p>
      <w:pPr>
        <w:spacing w:after="0" w:line="158" w:lineRule="exact"/>
        <w:rPr>
          <w:sz w:val="20"/>
          <w:szCs w:val="20"/>
          <w:color w:val="auto"/>
        </w:rPr>
      </w:pPr>
    </w:p>
    <w:p>
      <w:pPr>
        <w:ind w:right="60" w:firstLine="480"/>
        <w:spacing w:after="0" w:line="264" w:lineRule="auto"/>
        <w:rPr>
          <w:sz w:val="20"/>
          <w:szCs w:val="20"/>
          <w:color w:val="auto"/>
        </w:rPr>
      </w:pPr>
      <w:r>
        <w:rPr>
          <w:rFonts w:ascii="Times New Roman" w:cs="Times New Roman" w:eastAsia="Times New Roman" w:hAnsi="Times New Roman"/>
          <w:sz w:val="19"/>
          <w:szCs w:val="19"/>
          <w:color w:val="auto"/>
        </w:rPr>
        <w:t>On March 14, 2022, the Compensation Committee of the Board (the “Compensation Committee”) adopted the 2022 Inducement Equity Incentive Plan (the “2022 Inducement Plan”) and on June 2, 2023, the Compensation Committee approved an amendment and restatement of the 2022 Inducement Plan. Under the 2022 Inducement Plan, the Company may grant nonstatutory stock options, restricted stock awards, stock appreciation rights, RSUs, performance awards and other awards, but only to an individual, as a material inducement to such individual to enter into employment with the Company or an affiliate of the Company, who (i) has not previously been an employee or director of the Company or (ii) is rehired following a bona fide period of non-employment with the Company.</w:t>
      </w:r>
    </w:p>
    <w:p>
      <w:pPr>
        <w:spacing w:after="0" w:line="158"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20"/>
          <w:szCs w:val="20"/>
          <w:color w:val="auto"/>
        </w:rPr>
        <w:t>Stock options under the 2024 Plan and the 2022 Inducement Plan may be granted for periods of up to 10 years and at prices no less than 100% of the fair market value of the shares on the date of grant, provided, however, that the exercise price of an incentive stock option (which cannot be granted pursuant to the 2022 Inducement Plan) granted to a 10% stockholder may not be less than 110% of the fair market value of the shares. Stock options granted to employees and non-employees generally vest ratably over four years.</w:t>
      </w:r>
    </w:p>
    <w:p>
      <w:pPr>
        <w:spacing w:after="0" w:line="172" w:lineRule="exact"/>
        <w:rPr>
          <w:sz w:val="20"/>
          <w:szCs w:val="20"/>
          <w:color w:val="auto"/>
        </w:rPr>
      </w:pPr>
    </w:p>
    <w:p>
      <w:pPr>
        <w:ind w:right="100" w:firstLine="480"/>
        <w:spacing w:after="0" w:line="249" w:lineRule="auto"/>
        <w:rPr>
          <w:sz w:val="20"/>
          <w:szCs w:val="20"/>
          <w:color w:val="auto"/>
        </w:rPr>
      </w:pPr>
      <w:r>
        <w:rPr>
          <w:rFonts w:ascii="Times New Roman" w:cs="Times New Roman" w:eastAsia="Times New Roman" w:hAnsi="Times New Roman"/>
          <w:sz w:val="20"/>
          <w:szCs w:val="20"/>
          <w:color w:val="auto"/>
        </w:rPr>
        <w:t>As of December 31, 2025, 2,750,719 shares were reserved for issuance under the 2024 Plan, of which 843,360 shares were available for future grant and 1,907,359 shares were subject to outstanding options and RSUs, including performance-based awards of 50,894 shares. As of December 31, 2025, options to purchase 140,516 shares of common stock remained outstanding and unexercised, and continue to be governed by the 2019 Equity Incentive Plan (the “2019 EIP”). As of December 31, 2025, 29,802 shares have been issued under the 2021 ESPP and 79,173 shares have been issued under the 2024 ESPP. As of December 31, 2025, 1,000,000 shares were reserved under the 2024 ESPP and 920,827 shares were available for future issuance. As of December 31, 2025, 550,000 shares were reserved for issuance under the 2022 Inducement Plan, of which 132,769 shares were available for future grant and 417,231 shares were subject to outstanding stock options.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360"/>
          </w:cols>
          <w:pgMar w:left="1440" w:top="941" w:right="1440" w:bottom="353" w:gutter="0" w:footer="0" w:header="0"/>
          <w:type w:val="continuous"/>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10. STOCK-BASED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 Activity</w:t>
      </w:r>
    </w:p>
    <w:p>
      <w:pPr>
        <w:spacing w:after="0" w:line="177" w:lineRule="exact"/>
        <w:rPr>
          <w:sz w:val="20"/>
          <w:szCs w:val="20"/>
          <w:color w:val="auto"/>
        </w:rPr>
      </w:pPr>
    </w:p>
    <w:p>
      <w:pPr>
        <w:ind w:right="100" w:firstLine="480"/>
        <w:spacing w:after="0" w:line="268" w:lineRule="auto"/>
        <w:rPr>
          <w:sz w:val="20"/>
          <w:szCs w:val="20"/>
          <w:color w:val="auto"/>
        </w:rPr>
      </w:pPr>
      <w:r>
        <w:rPr>
          <w:rFonts w:ascii="Times New Roman" w:cs="Times New Roman" w:eastAsia="Times New Roman" w:hAnsi="Times New Roman"/>
          <w:sz w:val="19"/>
          <w:szCs w:val="19"/>
          <w:color w:val="auto"/>
        </w:rPr>
        <w:t>The following table summarizes the stock option activities, including performance-based stock options, under the 2024 Plan, the 2021 Plan, the 2022 Inducement Plan and the 2019 EIP for the year ended December 31,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83"/>
              <w:spacing w:after="0" w:line="200"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8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2"/>
              <w:spacing w:after="0" w:line="200"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00"/>
        </w:trPr>
        <w:tc>
          <w:tcPr>
            <w:tcW w:w="4280" w:type="dxa"/>
            <w:vAlign w:val="bottom"/>
          </w:tcPr>
          <w:p>
            <w:pPr>
              <w:spacing w:after="0"/>
              <w:rPr>
                <w:sz w:val="17"/>
                <w:szCs w:val="17"/>
                <w:color w:val="auto"/>
              </w:rPr>
            </w:pPr>
          </w:p>
        </w:tc>
        <w:tc>
          <w:tcPr>
            <w:tcW w:w="1220" w:type="dxa"/>
            <w:vAlign w:val="bottom"/>
            <w:gridSpan w:val="2"/>
          </w:tcPr>
          <w:p>
            <w:pPr>
              <w:jc w:val="right"/>
              <w:ind w:right="360"/>
              <w:spacing w:after="0" w:line="200" w:lineRule="exact"/>
              <w:rPr>
                <w:sz w:val="20"/>
                <w:szCs w:val="20"/>
                <w:color w:val="auto"/>
              </w:rPr>
            </w:pPr>
            <w:r>
              <w:rPr>
                <w:rFonts w:ascii="Times New Roman" w:cs="Times New Roman" w:eastAsia="Times New Roman" w:hAnsi="Times New Roman"/>
                <w:sz w:val="18"/>
                <w:szCs w:val="18"/>
                <w:b w:val="1"/>
                <w:bCs w:val="1"/>
                <w:color w:val="auto"/>
              </w:rPr>
              <w:t>Options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43"/>
              <w:spacing w:after="0" w:line="200"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8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300" w:type="dxa"/>
            <w:vAlign w:val="bottom"/>
            <w:gridSpan w:val="3"/>
          </w:tcPr>
          <w:p>
            <w:pPr>
              <w:ind w:left="180"/>
              <w:spacing w:after="0" w:line="200" w:lineRule="exact"/>
              <w:rPr>
                <w:sz w:val="20"/>
                <w:szCs w:val="20"/>
                <w:color w:val="auto"/>
              </w:rPr>
            </w:pPr>
            <w:r>
              <w:rPr>
                <w:rFonts w:ascii="Times New Roman" w:cs="Times New Roman" w:eastAsia="Times New Roman" w:hAnsi="Times New Roman"/>
                <w:sz w:val="18"/>
                <w:szCs w:val="18"/>
                <w:b w:val="1"/>
                <w:bCs w:val="1"/>
                <w:color w:val="auto"/>
                <w:w w:val="95"/>
              </w:rPr>
              <w:t>Intrinsic Value</w:t>
            </w:r>
          </w:p>
        </w:tc>
      </w:tr>
      <w:tr>
        <w:trPr>
          <w:trHeight w:val="210"/>
        </w:trPr>
        <w:tc>
          <w:tcPr>
            <w:tcW w:w="428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Life (Years)</w:t>
            </w:r>
          </w:p>
        </w:tc>
        <w:tc>
          <w:tcPr>
            <w:tcW w:w="180" w:type="dxa"/>
            <w:vAlign w:val="bottom"/>
          </w:tcPr>
          <w:p>
            <w:pPr>
              <w:spacing w:after="0"/>
              <w:rPr>
                <w:sz w:val="18"/>
                <w:szCs w:val="18"/>
                <w:color w:val="auto"/>
              </w:rPr>
            </w:pPr>
          </w:p>
        </w:tc>
        <w:tc>
          <w:tcPr>
            <w:tcW w:w="1120" w:type="dxa"/>
            <w:vAlign w:val="bottom"/>
            <w:tcBorders>
              <w:bottom w:val="single" w:sz="8" w:color="auto"/>
            </w:tcBorders>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7"/>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2024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1,628,378</w:t>
            </w:r>
          </w:p>
        </w:tc>
        <w:tc>
          <w:tcPr>
            <w:tcW w:w="120" w:type="dxa"/>
            <w:vAlign w:val="bottom"/>
          </w:tcPr>
          <w:p>
            <w:pPr>
              <w:spacing w:after="0"/>
              <w:rPr>
                <w:sz w:val="21"/>
                <w:szCs w:val="21"/>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6,608</w:t>
            </w:r>
          </w:p>
        </w:tc>
      </w:tr>
      <w:tr>
        <w:trPr>
          <w:trHeight w:val="26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Options granted . . . . . . . . . . .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1,269,200</w:t>
            </w:r>
          </w:p>
        </w:tc>
        <w:tc>
          <w:tcPr>
            <w:tcW w:w="120" w:type="dxa"/>
            <w:vAlign w:val="bottom"/>
          </w:tcPr>
          <w:p>
            <w:pPr>
              <w:spacing w:after="0"/>
              <w:rPr>
                <w:sz w:val="22"/>
                <w:szCs w:val="22"/>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1"/>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Options cancelled/forfeited . . . . . . . . . . . . . . . . . . . .</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(651,372)</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13.75</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2025 . . . . . . . . . . . . . . . . . .</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2,246,206</w:t>
            </w:r>
          </w:p>
        </w:tc>
        <w:tc>
          <w:tcPr>
            <w:tcW w:w="120" w:type="dxa"/>
            <w:vAlign w:val="bottom"/>
          </w:tcPr>
          <w:p>
            <w:pPr>
              <w:spacing w:after="0"/>
              <w:rPr>
                <w:sz w:val="20"/>
                <w:szCs w:val="20"/>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Vested and expected to vest, December 31, 2025 . . .</w:t>
            </w:r>
          </w:p>
        </w:tc>
        <w:tc>
          <w:tcPr>
            <w:tcW w:w="11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2,246,206</w:t>
            </w:r>
          </w:p>
        </w:tc>
        <w:tc>
          <w:tcPr>
            <w:tcW w:w="120" w:type="dxa"/>
            <w:vAlign w:val="bottom"/>
          </w:tcPr>
          <w:p>
            <w:pPr>
              <w:spacing w:after="0"/>
              <w:rPr>
                <w:sz w:val="17"/>
                <w:szCs w:val="17"/>
                <w:color w:val="auto"/>
              </w:rPr>
            </w:pPr>
          </w:p>
        </w:tc>
        <w:tc>
          <w:tcPr>
            <w:tcW w:w="2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13.72</w:t>
            </w:r>
          </w:p>
        </w:tc>
        <w:tc>
          <w:tcPr>
            <w:tcW w:w="12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4.81</w:t>
            </w:r>
          </w:p>
        </w:tc>
        <w:tc>
          <w:tcPr>
            <w:tcW w:w="32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Exercisable, December 31, 2025 . . . . . . . . . . . . . . . .</w:t>
            </w:r>
          </w:p>
        </w:tc>
        <w:tc>
          <w:tcPr>
            <w:tcW w:w="11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906,750</w:t>
            </w:r>
          </w:p>
        </w:tc>
        <w:tc>
          <w:tcPr>
            <w:tcW w:w="120" w:type="dxa"/>
            <w:vAlign w:val="bottom"/>
          </w:tcPr>
          <w:p>
            <w:pPr>
              <w:spacing w:after="0"/>
              <w:rPr>
                <w:sz w:val="17"/>
                <w:szCs w:val="17"/>
                <w:color w:val="auto"/>
              </w:rPr>
            </w:pPr>
          </w:p>
        </w:tc>
        <w:tc>
          <w:tcPr>
            <w:tcW w:w="200" w:type="dxa"/>
            <w:vAlign w:val="bottom"/>
            <w:gridSpan w:val="2"/>
          </w:tcPr>
          <w:p>
            <w:pPr>
              <w:ind w:left="6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20.32</w:t>
            </w:r>
          </w:p>
        </w:tc>
        <w:tc>
          <w:tcPr>
            <w:tcW w:w="12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3.89</w:t>
            </w:r>
          </w:p>
        </w:tc>
        <w:tc>
          <w:tcPr>
            <w:tcW w:w="320" w:type="dxa"/>
            <w:vAlign w:val="bottom"/>
            <w:gridSpan w:val="2"/>
          </w:tcPr>
          <w:p>
            <w:pPr>
              <w:ind w:left="180"/>
              <w:spacing w:after="0" w:line="200" w:lineRule="exact"/>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25" w:lineRule="exact"/>
        <w:rPr>
          <w:sz w:val="20"/>
          <w:szCs w:val="20"/>
          <w:color w:val="auto"/>
        </w:rPr>
      </w:pPr>
    </w:p>
    <w:p>
      <w:pPr>
        <w:ind w:right="260" w:firstLine="480"/>
        <w:spacing w:after="0" w:line="248" w:lineRule="auto"/>
        <w:rPr>
          <w:sz w:val="20"/>
          <w:szCs w:val="20"/>
          <w:color w:val="auto"/>
        </w:rPr>
      </w:pPr>
      <w:r>
        <w:rPr>
          <w:rFonts w:ascii="Times New Roman" w:cs="Times New Roman" w:eastAsia="Times New Roman" w:hAnsi="Times New Roman"/>
          <w:sz w:val="20"/>
          <w:szCs w:val="20"/>
          <w:color w:val="auto"/>
        </w:rPr>
        <w:t>The aggregate intrinsic value represents the difference between the estimated fair value of the underlying common stock and the exercise price of outstanding, in-the-money options. The total intrinsic value of the options exercised during the year ended December 31, 2024 was $0.5 million. No options were exercised during the year ended December 31, 2025.</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total fair value of options that vested during the years ended December 31, 2025 and 2024 was</w:t>
      </w:r>
    </w:p>
    <w:p>
      <w:pPr>
        <w:spacing w:after="0" w:line="17"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20"/>
          <w:szCs w:val="20"/>
          <w:color w:val="auto"/>
        </w:rPr>
        <w:t>$7.5 million and $5.5 million, respectively. The weighted-average grant date fair value of options granted during the years ended December 31, 2025 and 2024 was $4.73 and $16.89 per share, respectively.</w:t>
      </w:r>
    </w:p>
    <w:p>
      <w:pPr>
        <w:spacing w:after="0" w:line="174"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20"/>
          <w:szCs w:val="20"/>
          <w:color w:val="auto"/>
        </w:rPr>
        <w:t>Unamortized stock-based compensation expense as of December 31, 2025 was $8.9 million, which is expected to be recognized over a weighted-average period of 2.5 years.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Performance-Based Stock Options</w:t>
      </w:r>
    </w:p>
    <w:p>
      <w:pPr>
        <w:spacing w:after="0" w:line="177" w:lineRule="exact"/>
        <w:rPr>
          <w:sz w:val="20"/>
          <w:szCs w:val="20"/>
          <w:color w:val="auto"/>
        </w:rPr>
      </w:pPr>
    </w:p>
    <w:p>
      <w:pPr>
        <w:ind w:right="10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provides a summary of performance-based stock options activity under the 2024 Plan and the 2021 Plan during the year ended 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0"/>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4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62"/>
              <w:spacing w:after="0" w:line="200"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200"/>
        </w:trPr>
        <w:tc>
          <w:tcPr>
            <w:tcW w:w="4280" w:type="dxa"/>
            <w:vAlign w:val="bottom"/>
          </w:tcPr>
          <w:p>
            <w:pPr>
              <w:spacing w:after="0"/>
              <w:rPr>
                <w:sz w:val="17"/>
                <w:szCs w:val="17"/>
                <w:color w:val="auto"/>
              </w:rPr>
            </w:pPr>
          </w:p>
        </w:tc>
        <w:tc>
          <w:tcPr>
            <w:tcW w:w="1280" w:type="dxa"/>
            <w:vAlign w:val="bottom"/>
            <w:gridSpan w:val="2"/>
          </w:tcPr>
          <w:p>
            <w:pPr>
              <w:jc w:val="right"/>
              <w:ind w:right="420"/>
              <w:spacing w:after="0" w:line="200"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7"/>
                <w:szCs w:val="17"/>
                <w:color w:val="auto"/>
              </w:rPr>
            </w:pPr>
          </w:p>
        </w:tc>
        <w:tc>
          <w:tcPr>
            <w:tcW w:w="11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300" w:type="dxa"/>
            <w:vAlign w:val="bottom"/>
            <w:gridSpan w:val="3"/>
          </w:tcPr>
          <w:p>
            <w:pPr>
              <w:ind w:left="180"/>
              <w:spacing w:after="0" w:line="200" w:lineRule="exact"/>
              <w:rPr>
                <w:sz w:val="20"/>
                <w:szCs w:val="20"/>
                <w:color w:val="auto"/>
              </w:rPr>
            </w:pPr>
            <w:r>
              <w:rPr>
                <w:rFonts w:ascii="Times New Roman" w:cs="Times New Roman" w:eastAsia="Times New Roman" w:hAnsi="Times New Roman"/>
                <w:sz w:val="18"/>
                <w:szCs w:val="18"/>
                <w:b w:val="1"/>
                <w:bCs w:val="1"/>
                <w:color w:val="auto"/>
                <w:w w:val="95"/>
              </w:rPr>
              <w:t>Intrinsic Value</w:t>
            </w:r>
          </w:p>
        </w:tc>
      </w:tr>
      <w:tr>
        <w:trPr>
          <w:trHeight w:val="210"/>
        </w:trPr>
        <w:tc>
          <w:tcPr>
            <w:tcW w:w="428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Life (Years)</w:t>
            </w:r>
          </w:p>
        </w:tc>
        <w:tc>
          <w:tcPr>
            <w:tcW w:w="180" w:type="dxa"/>
            <w:vAlign w:val="bottom"/>
          </w:tcPr>
          <w:p>
            <w:pPr>
              <w:spacing w:after="0"/>
              <w:rPr>
                <w:sz w:val="18"/>
                <w:szCs w:val="18"/>
                <w:color w:val="auto"/>
              </w:rPr>
            </w:pPr>
          </w:p>
        </w:tc>
        <w:tc>
          <w:tcPr>
            <w:tcW w:w="1120" w:type="dxa"/>
            <w:vAlign w:val="bottom"/>
            <w:tcBorders>
              <w:bottom w:val="single" w:sz="8" w:color="auto"/>
            </w:tcBorders>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47"/>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2024 . . . . . . . . . . . . . . . . . .</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45,894</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6.04</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w:t>
            </w:r>
          </w:p>
        </w:tc>
      </w:tr>
      <w:tr>
        <w:trPr>
          <w:trHeight w:val="26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Options forfeited . . . . . . . . . . . . . . . . . . . . . . . . . . . .</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(15,000)</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27.60</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41"/>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Balance, December 31, 2025 . . . . . . . . . . . . . . . . . .</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30,894</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Vested and expected to vest, December 31, 2025 . . .</w:t>
            </w:r>
          </w:p>
        </w:tc>
        <w:tc>
          <w:tcPr>
            <w:tcW w:w="11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30,894</w:t>
            </w:r>
          </w:p>
        </w:tc>
        <w:tc>
          <w:tcPr>
            <w:tcW w:w="18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7.33</w:t>
            </w:r>
          </w:p>
        </w:tc>
        <w:tc>
          <w:tcPr>
            <w:tcW w:w="12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4.43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0"/>
        </w:trPr>
        <w:tc>
          <w:tcPr>
            <w:tcW w:w="42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Exercisable, December 31, 2025 . . . . . . . . . . . . . . . .</w:t>
            </w:r>
          </w:p>
        </w:tc>
        <w:tc>
          <w:tcPr>
            <w:tcW w:w="110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30,894</w:t>
            </w:r>
          </w:p>
        </w:tc>
        <w:tc>
          <w:tcPr>
            <w:tcW w:w="180" w:type="dxa"/>
            <w:vAlign w:val="bottom"/>
          </w:tcPr>
          <w:p>
            <w:pPr>
              <w:spacing w:after="0"/>
              <w:rPr>
                <w:sz w:val="17"/>
                <w:szCs w:val="17"/>
                <w:color w:val="auto"/>
              </w:rPr>
            </w:pPr>
          </w:p>
        </w:tc>
        <w:tc>
          <w:tcPr>
            <w:tcW w:w="11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7.33</w:t>
            </w:r>
          </w:p>
        </w:tc>
        <w:tc>
          <w:tcPr>
            <w:tcW w:w="128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4.43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4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360"/>
          </w:cols>
          <w:pgMar w:left="1440" w:top="941" w:right="1440" w:bottom="353"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10. STOCK-BASED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(RSUs)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provides a summary of RSU activity under the 2024 Plan during the year ended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4"/>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00"/>
        </w:trPr>
        <w:tc>
          <w:tcPr>
            <w:tcW w:w="6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00"/>
        </w:trPr>
        <w:tc>
          <w:tcPr>
            <w:tcW w:w="6540" w:type="dxa"/>
            <w:vAlign w:val="bottom"/>
          </w:tcPr>
          <w:p>
            <w:pPr>
              <w:spacing w:after="0"/>
              <w:rPr>
                <w:sz w:val="17"/>
                <w:szCs w:val="17"/>
                <w:color w:val="auto"/>
              </w:rPr>
            </w:pPr>
          </w:p>
        </w:tc>
        <w:tc>
          <w:tcPr>
            <w:tcW w:w="1380" w:type="dxa"/>
            <w:vAlign w:val="bottom"/>
            <w:gridSpan w:val="2"/>
          </w:tcPr>
          <w:p>
            <w:pPr>
              <w:jc w:val="right"/>
              <w:ind w:right="340"/>
              <w:spacing w:after="0" w:line="200"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44"/>
              <w:spacing w:after="0" w:line="200" w:lineRule="exact"/>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10"/>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303"/>
              <w:spacing w:after="0" w:line="201" w:lineRule="exact"/>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44"/>
              <w:spacing w:after="0" w:line="201" w:lineRule="exact"/>
              <w:rPr>
                <w:sz w:val="20"/>
                <w:szCs w:val="20"/>
                <w:color w:val="auto"/>
              </w:rPr>
            </w:pPr>
            <w:r>
              <w:rPr>
                <w:rFonts w:ascii="Times New Roman" w:cs="Times New Roman" w:eastAsia="Times New Roman" w:hAnsi="Times New Roman"/>
                <w:sz w:val="18"/>
                <w:szCs w:val="18"/>
                <w:b w:val="1"/>
                <w:bCs w:val="1"/>
                <w:color w:val="auto"/>
                <w:w w:val="94"/>
              </w:rPr>
              <w:t>Fair Value</w:t>
            </w:r>
          </w:p>
        </w:tc>
      </w:tr>
      <w:tr>
        <w:trPr>
          <w:trHeight w:val="247"/>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restricted stock units at December 31, 2024 . . . . . . . . . . . . . . . . . . . . .</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 . . . . . . . . . . . . . . . . . . . . .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275,250</w:t>
            </w:r>
          </w:p>
        </w:tc>
        <w:tc>
          <w:tcPr>
            <w:tcW w:w="120" w:type="dxa"/>
            <w:vAlign w:val="bottom"/>
          </w:tcPr>
          <w:p>
            <w:pPr>
              <w:spacing w:after="0"/>
              <w:rPr>
                <w:sz w:val="22"/>
                <w:szCs w:val="22"/>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 . . . . . . . . . . . . . . . . . . . . . . . . . . . . . . . . . . . . . . .</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(64,350)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restricted stock units at December 31, 2025 . . . . . . . . . . . . . . . . . . . . .</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198,900</w:t>
            </w:r>
          </w:p>
        </w:tc>
        <w:tc>
          <w:tcPr>
            <w:tcW w:w="12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w:t>
            </w:r>
          </w:p>
        </w:tc>
      </w:tr>
      <w:tr>
        <w:trPr>
          <w:trHeight w:val="20"/>
        </w:trPr>
        <w:tc>
          <w:tcPr>
            <w:tcW w:w="6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Restricted Stock Units (PSUs)</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In June 2024, the Company granted PSUs for 20,000 shares that will vest in full if the closing price of the Company’s common stock on the Nasdaq Capital Market reaches or exceeds $35.00 per share (subject to adjustment for recapitalizations, stock splits and similar transactions) for thirty consecutive calendar days within two years from the grant date. If the vesting condition is not met within two years from the grant date, the PSUs will be forfeited. The Company concluded that issued PSUs are equity-based awards and include a market based vesting condition. The Company used a Monte Carlo simulation model to estimate the fair value of the PSUs with the following assumptions: common stock fair value of $23.95, which was the closing market price of the Company’s common stock at the grant date, volatility of 133.00%, risk free rate of 4.87%, and vesting term of 2.0 years. Total estimated fair value of $0.4 million was recognized as stock-based compensation expense over 0.4 years, the derived requisite service period from the grant date.</w:t>
      </w:r>
    </w:p>
    <w:p>
      <w:pPr>
        <w:spacing w:after="0" w:line="174" w:lineRule="exact"/>
        <w:rPr>
          <w:sz w:val="20"/>
          <w:szCs w:val="20"/>
          <w:color w:val="auto"/>
        </w:rPr>
      </w:pPr>
    </w:p>
    <w:p>
      <w:pPr>
        <w:jc w:val="both"/>
        <w:ind w:right="280" w:firstLine="480"/>
        <w:spacing w:after="0" w:line="246" w:lineRule="auto"/>
        <w:rPr>
          <w:sz w:val="20"/>
          <w:szCs w:val="20"/>
          <w:color w:val="auto"/>
        </w:rPr>
      </w:pPr>
      <w:r>
        <w:rPr>
          <w:rFonts w:ascii="Times New Roman" w:cs="Times New Roman" w:eastAsia="Times New Roman" w:hAnsi="Times New Roman"/>
          <w:sz w:val="20"/>
          <w:szCs w:val="20"/>
          <w:color w:val="auto"/>
        </w:rPr>
        <w:t>The was no PSU activities during the year ended December 31, 2025. As of December 31, 2025 and 2024, the Company has unvested outstanding PSUs for 20,000 shares with the weighted-average grant date fair value of $21.90 per share.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Plans</w:t>
      </w:r>
    </w:p>
    <w:p>
      <w:pPr>
        <w:spacing w:after="0" w:line="177" w:lineRule="exact"/>
        <w:rPr>
          <w:sz w:val="20"/>
          <w:szCs w:val="20"/>
          <w:color w:val="auto"/>
        </w:rPr>
      </w:pPr>
    </w:p>
    <w:p>
      <w:pPr>
        <w:ind w:right="180" w:firstLine="480"/>
        <w:spacing w:after="0" w:line="263" w:lineRule="auto"/>
        <w:rPr>
          <w:sz w:val="20"/>
          <w:szCs w:val="20"/>
          <w:color w:val="auto"/>
        </w:rPr>
      </w:pPr>
      <w:r>
        <w:rPr>
          <w:rFonts w:ascii="Times New Roman" w:cs="Times New Roman" w:eastAsia="Times New Roman" w:hAnsi="Times New Roman"/>
          <w:sz w:val="19"/>
          <w:szCs w:val="19"/>
          <w:color w:val="auto"/>
        </w:rPr>
        <w:t>The Company issued 60,543 and 29,491 shares of common stock under the 2024 ESPP and 2021 ESPP during the years ended December 31, 2025 and 2024, respectively, and recognized $0.5 million and $0.2 million compensation expense related to the 2024 ESPP and 2021 ESPP during the years ended December 31, 2025 and 2024, respectively. There was no unamortized stock-based compensation for shares issuable under the 2021 ESPP as of December 31, 2025. There was $0.2 million unamortized stock-based compensation for shares issuable under the 2024 ESPP as of December 31, 2025, which is expected to be recognized over a weighted-average period of</w:t>
      </w:r>
    </w:p>
    <w:p>
      <w:pPr>
        <w:spacing w:after="0" w:line="4"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color w:val="auto"/>
        </w:rPr>
        <w:t>1.9 years. The Company recorded less than $0.1 million in accrued expenses and other current liabilities related to contributions withheld as of December 31, 2025.</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360"/>
          </w:cols>
          <w:pgMar w:left="1440" w:top="941" w:right="1440" w:bottom="353" w:gutter="0" w:footer="0" w:header="0"/>
          <w:type w:val="continuous"/>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10. STOCK-BASED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77" w:lineRule="exact"/>
        <w:rPr>
          <w:sz w:val="20"/>
          <w:szCs w:val="20"/>
          <w:color w:val="auto"/>
        </w:rPr>
      </w:pPr>
    </w:p>
    <w:p>
      <w:pPr>
        <w:jc w:val="both"/>
        <w:ind w:right="160" w:firstLine="480"/>
        <w:spacing w:after="0" w:line="246" w:lineRule="auto"/>
        <w:rPr>
          <w:sz w:val="20"/>
          <w:szCs w:val="20"/>
          <w:color w:val="auto"/>
        </w:rPr>
      </w:pPr>
      <w:r>
        <w:rPr>
          <w:rFonts w:ascii="Times New Roman" w:cs="Times New Roman" w:eastAsia="Times New Roman" w:hAnsi="Times New Roman"/>
          <w:sz w:val="20"/>
          <w:szCs w:val="20"/>
          <w:color w:val="auto"/>
        </w:rPr>
        <w:t>The following table presents stock-based compensation expenses related to options, PSUs and RSUs granted to employees and non-employees, employee stock purchase plan awards and restricted common stock shares issued to founders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Borders>
              <w:bottom w:val="single" w:sz="8" w:color="auto"/>
            </w:tcBorders>
            <w:gridSpan w:val="5"/>
          </w:tcPr>
          <w:p>
            <w:pPr>
              <w:jc w:val="right"/>
              <w:ind w:right="28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3"/>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5"/>
        </w:trPr>
        <w:tc>
          <w:tcPr>
            <w:tcW w:w="6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General and administrative . . . . . .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4,718</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4,580</w:t>
            </w:r>
          </w:p>
        </w:tc>
      </w:tr>
      <w:tr>
        <w:trPr>
          <w:trHeight w:val="260"/>
        </w:trPr>
        <w:tc>
          <w:tcPr>
            <w:tcW w:w="6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Research and development . . . . . . . . . . . . . . . . . . . . . . . . . . . . . . . . . . . . . . . . . .</w:t>
            </w:r>
          </w:p>
        </w:tc>
        <w:tc>
          <w:tcPr>
            <w:tcW w:w="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1,995</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2,039</w:t>
            </w:r>
          </w:p>
        </w:tc>
      </w:tr>
      <w:tr>
        <w:trPr>
          <w:trHeight w:val="241"/>
        </w:trPr>
        <w:tc>
          <w:tcPr>
            <w:tcW w:w="64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6,713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6,619</w:t>
            </w:r>
          </w:p>
        </w:tc>
      </w:tr>
      <w:tr>
        <w:trPr>
          <w:trHeight w:val="20"/>
        </w:trPr>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right="420" w:firstLine="480"/>
        <w:spacing w:after="0" w:line="268" w:lineRule="auto"/>
        <w:rPr>
          <w:sz w:val="20"/>
          <w:szCs w:val="20"/>
          <w:color w:val="auto"/>
        </w:rPr>
      </w:pPr>
      <w:r>
        <w:rPr>
          <w:rFonts w:ascii="Times New Roman" w:cs="Times New Roman" w:eastAsia="Times New Roman" w:hAnsi="Times New Roman"/>
          <w:sz w:val="19"/>
          <w:szCs w:val="19"/>
          <w:color w:val="auto"/>
        </w:rPr>
        <w:t>The Company recognized $0.2 million and $0.5 million of stock-based compensation expense related to performance-based options, PSUs and RSUs during the years ended December 31, 2025 and 2024,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Stock Options</w:t>
      </w:r>
    </w:p>
    <w:p>
      <w:pPr>
        <w:spacing w:after="0" w:line="177" w:lineRule="exact"/>
        <w:rPr>
          <w:sz w:val="20"/>
          <w:szCs w:val="20"/>
          <w:color w:val="auto"/>
        </w:rPr>
      </w:pPr>
    </w:p>
    <w:p>
      <w:pPr>
        <w:ind w:right="140" w:firstLine="480"/>
        <w:spacing w:after="0" w:line="243" w:lineRule="auto"/>
        <w:rPr>
          <w:sz w:val="20"/>
          <w:szCs w:val="20"/>
          <w:color w:val="auto"/>
        </w:rPr>
      </w:pPr>
      <w:r>
        <w:rPr>
          <w:rFonts w:ascii="Times New Roman" w:cs="Times New Roman" w:eastAsia="Times New Roman" w:hAnsi="Times New Roman"/>
          <w:sz w:val="20"/>
          <w:szCs w:val="20"/>
          <w:color w:val="auto"/>
        </w:rPr>
        <w:t>The grant date fair value of stock options was estimated using a Black-Scholes option-pricing model with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r>
      <w:tr>
        <w:trPr>
          <w:trHeight w:val="208"/>
        </w:trPr>
        <w:tc>
          <w:tcPr>
            <w:tcW w:w="5900" w:type="dxa"/>
            <w:vAlign w:val="bottom"/>
          </w:tcPr>
          <w:p>
            <w:pPr>
              <w:spacing w:after="0"/>
              <w:rPr>
                <w:sz w:val="18"/>
                <w:szCs w:val="18"/>
                <w:color w:val="auto"/>
              </w:rPr>
            </w:pPr>
          </w:p>
        </w:tc>
        <w:tc>
          <w:tcPr>
            <w:tcW w:w="1580" w:type="dxa"/>
            <w:vAlign w:val="bottom"/>
            <w:gridSpan w:val="2"/>
          </w:tcPr>
          <w:p>
            <w:pPr>
              <w:jc w:val="right"/>
              <w:ind w:right="50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760" w:type="dxa"/>
            <w:vAlign w:val="bottom"/>
            <w:gridSpan w:val="3"/>
          </w:tcPr>
          <w:p>
            <w:pPr>
              <w:jc w:val="right"/>
              <w:ind w:right="50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5"/>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 . . . . . . . . . . . . . . . . . . . . . . . . . . . . . . . . . . . . . .</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 6.08</w:t>
            </w:r>
          </w:p>
        </w:tc>
        <w:tc>
          <w:tcPr>
            <w:tcW w:w="18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 –</w:t>
            </w: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6.08</w:t>
            </w:r>
          </w:p>
        </w:tc>
      </w:tr>
      <w:tr>
        <w:trPr>
          <w:trHeight w:val="260"/>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97.37%</w:t>
            </w:r>
          </w:p>
        </w:tc>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99.81%</w:t>
            </w:r>
          </w:p>
        </w:tc>
        <w:tc>
          <w:tcPr>
            <w:tcW w:w="180" w:type="dxa"/>
            <w:vAlign w:val="bottom"/>
          </w:tcPr>
          <w:p>
            <w:pPr>
              <w:spacing w:after="0"/>
              <w:rPr>
                <w:sz w:val="22"/>
                <w:szCs w:val="22"/>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95.80% – 123.10%</w:t>
            </w:r>
          </w:p>
        </w:tc>
      </w:tr>
      <w:tr>
        <w:trPr>
          <w:trHeight w:val="260"/>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4.35%</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 –</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4.50%</w:t>
            </w:r>
          </w:p>
        </w:tc>
      </w:tr>
      <w:tr>
        <w:trPr>
          <w:trHeight w:val="260"/>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 . . . . . . . . . . . . . .</w:t>
            </w:r>
          </w:p>
        </w:tc>
        <w:tc>
          <w:tcPr>
            <w:tcW w:w="720" w:type="dxa"/>
            <w:vAlign w:val="bottom"/>
          </w:tcPr>
          <w:p>
            <w:pPr>
              <w:spacing w:after="0"/>
              <w:rPr>
                <w:sz w:val="22"/>
                <w:szCs w:val="22"/>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920" w:type="dxa"/>
            <w:vAlign w:val="bottom"/>
          </w:tcPr>
          <w:p>
            <w:pPr>
              <w:jc w:val="center"/>
              <w:ind w:left="620"/>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spacing w:after="0"/>
              <w:rPr>
                <w:sz w:val="22"/>
                <w:szCs w:val="22"/>
                <w:color w:val="auto"/>
              </w:rPr>
            </w:pPr>
          </w:p>
        </w:tc>
      </w:tr>
    </w:tbl>
    <w:p>
      <w:pPr>
        <w:spacing w:after="0" w:line="157" w:lineRule="exact"/>
        <w:rPr>
          <w:sz w:val="20"/>
          <w:szCs w:val="20"/>
          <w:color w:val="auto"/>
        </w:rPr>
      </w:pPr>
    </w:p>
    <w:p>
      <w:pPr>
        <w:jc w:val="both"/>
        <w:ind w:right="120" w:firstLine="480"/>
        <w:spacing w:after="0" w:line="243" w:lineRule="auto"/>
        <w:rPr>
          <w:sz w:val="20"/>
          <w:szCs w:val="20"/>
          <w:color w:val="auto"/>
        </w:rPr>
      </w:pPr>
      <w:r>
        <w:rPr>
          <w:rFonts w:ascii="Times New Roman" w:cs="Times New Roman" w:eastAsia="Times New Roman" w:hAnsi="Times New Roman"/>
          <w:sz w:val="20"/>
          <w:szCs w:val="20"/>
          <w:color w:val="auto"/>
        </w:rPr>
        <w:t>The determination of the fair value of stock options on the date of grant using a Black-Scholes option-pricing model is affected by the estimated fair value of the Company’s common stock, as well as assumptions regarding</w:t>
      </w:r>
    </w:p>
    <w:p>
      <w:pPr>
        <w:spacing w:after="0" w:line="1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 number of variables that are complex, subjective and generally require significant judgment to determine. The Company estimates the fair value of its common stock based on the closing quoted market price of its common stock as reported on the Nasdaq Capital Market.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Expected Term</w:t>
      </w:r>
    </w:p>
    <w:p>
      <w:pPr>
        <w:spacing w:after="0" w:line="177" w:lineRule="exact"/>
        <w:rPr>
          <w:sz w:val="20"/>
          <w:szCs w:val="20"/>
          <w:color w:val="auto"/>
        </w:rPr>
      </w:pPr>
    </w:p>
    <w:p>
      <w:pPr>
        <w:ind w:right="120" w:firstLine="480"/>
        <w:spacing w:after="0" w:line="248" w:lineRule="auto"/>
        <w:rPr>
          <w:sz w:val="20"/>
          <w:szCs w:val="20"/>
          <w:color w:val="auto"/>
        </w:rPr>
      </w:pPr>
      <w:r>
        <w:rPr>
          <w:rFonts w:ascii="Times New Roman" w:cs="Times New Roman" w:eastAsia="Times New Roman" w:hAnsi="Times New Roman"/>
          <w:sz w:val="20"/>
          <w:szCs w:val="20"/>
          <w:color w:val="auto"/>
        </w:rPr>
        <w:t>The expected term represents the period that the options granted are expected to be outstanding and is determined using the simplified method (based on the mid-point between the vesting date and the end of the contractual term) as the Company has concluded that its stock option exercise history does not provide a reasonable basis upon which to estimate expected term.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Expected Volatility</w:t>
      </w:r>
    </w:p>
    <w:p>
      <w:pPr>
        <w:spacing w:after="0" w:line="177" w:lineRule="exact"/>
        <w:rPr>
          <w:sz w:val="20"/>
          <w:szCs w:val="20"/>
          <w:color w:val="auto"/>
        </w:rPr>
      </w:pPr>
    </w:p>
    <w:p>
      <w:pPr>
        <w:ind w:right="200" w:firstLine="480"/>
        <w:spacing w:after="0" w:line="265" w:lineRule="auto"/>
        <w:rPr>
          <w:sz w:val="20"/>
          <w:szCs w:val="20"/>
          <w:color w:val="auto"/>
        </w:rPr>
      </w:pPr>
      <w:r>
        <w:rPr>
          <w:rFonts w:ascii="Times New Roman" w:cs="Times New Roman" w:eastAsia="Times New Roman" w:hAnsi="Times New Roman"/>
          <w:sz w:val="19"/>
          <w:szCs w:val="19"/>
          <w:color w:val="auto"/>
        </w:rPr>
        <w:t>The Company derived the expected volatility from the average historical volatilities over a period approximately equal to the expected term of comparable publicly traded companies within its peer group that were deemed to be representative of future stock price trends. The Company will continue to apply this process until a sufficient amount of historical information regarding the volatility of its own stock price becomes available.</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2240" w:h="15840" w:orient="portrait"/>
          <w:cols w:equalWidth="0" w:num="1">
            <w:col w:w="9360"/>
          </w:cols>
          <w:pgMar w:left="1440" w:top="941" w:right="1440" w:bottom="353"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10. STOCK-BASED COMPENSATION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Risk-Free Interest Rate</w:t>
      </w:r>
    </w:p>
    <w:p>
      <w:pPr>
        <w:spacing w:after="0" w:line="177" w:lineRule="exact"/>
        <w:rPr>
          <w:sz w:val="20"/>
          <w:szCs w:val="20"/>
          <w:color w:val="auto"/>
        </w:rPr>
      </w:pPr>
    </w:p>
    <w:p>
      <w:pPr>
        <w:ind w:right="40" w:firstLine="480"/>
        <w:spacing w:after="0" w:line="243" w:lineRule="auto"/>
        <w:rPr>
          <w:sz w:val="20"/>
          <w:szCs w:val="20"/>
          <w:color w:val="auto"/>
        </w:rPr>
      </w:pPr>
      <w:r>
        <w:rPr>
          <w:rFonts w:ascii="Times New Roman" w:cs="Times New Roman" w:eastAsia="Times New Roman" w:hAnsi="Times New Roman"/>
          <w:sz w:val="20"/>
          <w:szCs w:val="20"/>
          <w:color w:val="auto"/>
        </w:rPr>
        <w:t>The risk-free interest rate is based on the U.S. Treasury rate, with maturities similar to the expected term of the stock options.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Expected Dividend Yield</w:t>
      </w:r>
    </w:p>
    <w:p>
      <w:pPr>
        <w:spacing w:after="0" w:line="177" w:lineRule="exact"/>
        <w:rPr>
          <w:sz w:val="20"/>
          <w:szCs w:val="20"/>
          <w:color w:val="auto"/>
        </w:rPr>
      </w:pPr>
    </w:p>
    <w:p>
      <w:pPr>
        <w:ind w:right="640" w:firstLine="480"/>
        <w:spacing w:after="0" w:line="243" w:lineRule="auto"/>
        <w:rPr>
          <w:sz w:val="20"/>
          <w:szCs w:val="20"/>
          <w:color w:val="auto"/>
        </w:rPr>
      </w:pPr>
      <w:r>
        <w:rPr>
          <w:rFonts w:ascii="Times New Roman" w:cs="Times New Roman" w:eastAsia="Times New Roman" w:hAnsi="Times New Roman"/>
          <w:sz w:val="20"/>
          <w:szCs w:val="20"/>
          <w:color w:val="auto"/>
        </w:rPr>
        <w:t>The Company does not anticipate paying any dividends in the foreseeable future and, therefore, uses an expected dividend yield of zero.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ESPP Awards</w:t>
      </w:r>
    </w:p>
    <w:p>
      <w:pPr>
        <w:spacing w:after="0" w:line="177" w:lineRule="exact"/>
        <w:rPr>
          <w:sz w:val="20"/>
          <w:szCs w:val="20"/>
          <w:color w:val="auto"/>
        </w:rPr>
      </w:pPr>
    </w:p>
    <w:p>
      <w:pPr>
        <w:ind w:right="180" w:firstLine="480"/>
        <w:spacing w:after="0" w:line="243" w:lineRule="auto"/>
        <w:rPr>
          <w:sz w:val="20"/>
          <w:szCs w:val="20"/>
          <w:color w:val="auto"/>
        </w:rPr>
      </w:pPr>
      <w:r>
        <w:rPr>
          <w:rFonts w:ascii="Times New Roman" w:cs="Times New Roman" w:eastAsia="Times New Roman" w:hAnsi="Times New Roman"/>
          <w:sz w:val="20"/>
          <w:szCs w:val="20"/>
          <w:color w:val="auto"/>
        </w:rPr>
        <w:t>The grant date fair value of ESPP awards granted under the 2024 ESPP was estimated using a Black-Scholes option-pricing model with the following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r>
      <w:tr>
        <w:trPr>
          <w:trHeight w:val="208"/>
        </w:trPr>
        <w:tc>
          <w:tcPr>
            <w:tcW w:w="590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500"/>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500"/>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45"/>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2.00</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0.38 –</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2.00</w:t>
            </w:r>
          </w:p>
        </w:tc>
      </w:tr>
      <w:tr>
        <w:trPr>
          <w:trHeight w:val="260"/>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 . .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104.93%</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155.78%</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67.74% – 154.96%</w:t>
            </w:r>
          </w:p>
        </w:tc>
      </w:tr>
      <w:tr>
        <w:trPr>
          <w:trHeight w:val="260"/>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Risk-free interest rate . . . . . . . . . . . . . . . . . . . . . . . . . . . . . . . . . . . . . . . .</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4.31%</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 –</w:t>
            </w: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5.36%</w:t>
            </w:r>
          </w:p>
        </w:tc>
      </w:tr>
      <w:tr>
        <w:trPr>
          <w:trHeight w:val="260"/>
        </w:trPr>
        <w:tc>
          <w:tcPr>
            <w:tcW w:w="590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 yield . . . . . . . . . . . . . . . . . . . . . . . . . . . . . . . . . . . . . .</w:t>
            </w:r>
          </w:p>
        </w:tc>
        <w:tc>
          <w:tcPr>
            <w:tcW w:w="720" w:type="dxa"/>
            <w:vAlign w:val="bottom"/>
          </w:tcPr>
          <w:p>
            <w:pPr>
              <w:spacing w:after="0"/>
              <w:rPr>
                <w:sz w:val="22"/>
                <w:szCs w:val="22"/>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center"/>
              <w:ind w:left="622"/>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spacing w:after="0"/>
              <w:rPr>
                <w:sz w:val="22"/>
                <w:szCs w:val="22"/>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NET LOSS PER SHARE ATTRIBUTABLE TO COMMON STOCKHOLDERS</w:t>
      </w:r>
    </w:p>
    <w:p>
      <w:pPr>
        <w:spacing w:after="0" w:line="177" w:lineRule="exact"/>
        <w:rPr>
          <w:sz w:val="20"/>
          <w:szCs w:val="20"/>
          <w:color w:val="auto"/>
        </w:rPr>
      </w:pPr>
    </w:p>
    <w:p>
      <w:pPr>
        <w:ind w:right="20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net loss per share attributable to common stockholders (in thousands, except share and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5"/>
        </w:trPr>
        <w:tc>
          <w:tcPr>
            <w:tcW w:w="65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Numerator:</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 . . . . . . . . . . . . . . . . . . . . . . .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(75,801)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(71,269)</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common shares outstanding . . . . . . . . . . . . . . . . . . . . . . . . . .</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19,168,110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14,661,468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Less: Shares subject to earnout . . . . . . . . . . . . . . . . . . . . . . . . . . . . . . . . . . . . . . .</w:t>
            </w: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(76,598)</w:t>
            </w:r>
          </w:p>
        </w:tc>
        <w:tc>
          <w:tcPr>
            <w:tcW w:w="0" w:type="dxa"/>
            <w:vAlign w:val="bottom"/>
          </w:tcPr>
          <w:p>
            <w:pPr>
              <w:spacing w:after="0"/>
              <w:rPr>
                <w:sz w:val="1"/>
                <w:szCs w:val="1"/>
                <w:color w:val="auto"/>
              </w:rPr>
            </w:pP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shares used to compute basic and diluted net loss per share . .</w:t>
            </w: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19,168,110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14,584,870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 basic and diluted . . . .</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ind w:right="460" w:firstLine="480"/>
        <w:spacing w:after="0" w:line="246" w:lineRule="auto"/>
        <w:rPr>
          <w:sz w:val="20"/>
          <w:szCs w:val="20"/>
          <w:color w:val="auto"/>
        </w:rPr>
      </w:pPr>
      <w:r>
        <w:rPr>
          <w:rFonts w:ascii="Times New Roman" w:cs="Times New Roman" w:eastAsia="Times New Roman" w:hAnsi="Times New Roman"/>
          <w:sz w:val="20"/>
          <w:szCs w:val="20"/>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8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20" w:type="dxa"/>
            <w:vAlign w:val="bottom"/>
            <w:tcBorders>
              <w:bottom w:val="single" w:sz="8" w:color="auto"/>
            </w:tcBorders>
          </w:tcPr>
          <w:p>
            <w:pPr>
              <w:spacing w:after="0"/>
              <w:rPr>
                <w:sz w:val="18"/>
                <w:szCs w:val="18"/>
                <w:color w:val="auto"/>
              </w:rPr>
            </w:pPr>
          </w:p>
        </w:tc>
      </w:tr>
      <w:tr>
        <w:trPr>
          <w:trHeight w:val="208"/>
        </w:trPr>
        <w:tc>
          <w:tcPr>
            <w:tcW w:w="6540" w:type="dxa"/>
            <w:vAlign w:val="bottom"/>
          </w:tcPr>
          <w:p>
            <w:pPr>
              <w:spacing w:after="0"/>
              <w:rPr>
                <w:sz w:val="18"/>
                <w:szCs w:val="18"/>
                <w:color w:val="auto"/>
              </w:rPr>
            </w:pPr>
          </w:p>
        </w:tc>
        <w:tc>
          <w:tcPr>
            <w:tcW w:w="1260" w:type="dxa"/>
            <w:vAlign w:val="bottom"/>
            <w:tcBorders>
              <w:bottom w:val="single" w:sz="8" w:color="auto"/>
            </w:tcBorders>
          </w:tcPr>
          <w:p>
            <w:pPr>
              <w:jc w:val="right"/>
              <w:ind w:right="343"/>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and issued common stock options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2,246,206</w:t>
            </w: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1,628,378</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and issued restricted stock units . . . .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198,900</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Shares issuable upon exercise of Public Warrants . .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499,986</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499,986</w:t>
            </w: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Shares issuable upon exercise of Common Warrants . . . . . . . . . . . . . . . . . . . . . .</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12,345,707</w:t>
            </w: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1"/>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Unvested performance-based restricted stock units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1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20,000</w:t>
            </w:r>
          </w:p>
        </w:tc>
      </w:tr>
      <w:tr>
        <w:trPr>
          <w:trHeight w:val="240"/>
        </w:trPr>
        <w:tc>
          <w:tcPr>
            <w:tcW w:w="6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Total </w:t>
            </w:r>
            <w:r>
              <w:rPr>
                <w:rFonts w:ascii="Times New Roman" w:cs="Times New Roman" w:eastAsia="Times New Roman" w:hAnsi="Times New Roman"/>
                <w:sz w:val="20"/>
                <w:szCs w:val="20"/>
                <w:color w:val="auto"/>
              </w:rPr>
              <w:t>. . . . . . . . . . . . . . . . . . . . . . . . . . . . . . . . . . . . . . . . . . . . . . . . . . . . . . . . . . .</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15,310,799</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2,148,364</w:t>
            </w:r>
          </w:p>
        </w:tc>
      </w:tr>
      <w:tr>
        <w:trPr>
          <w:trHeight w:val="20"/>
        </w:trPr>
        <w:tc>
          <w:tcPr>
            <w:tcW w:w="65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360"/>
          </w:cols>
          <w:pgMar w:left="1440" w:top="941" w:right="1440" w:bottom="353"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INCOME TAXES</w:t>
      </w:r>
    </w:p>
    <w:p>
      <w:pPr>
        <w:spacing w:after="0" w:line="177"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did not incur any tax expense or benefit as the Company operated with taxable losses and provided a full valuation allowance.</w:t>
      </w:r>
    </w:p>
    <w:p>
      <w:pPr>
        <w:spacing w:after="0" w:line="174" w:lineRule="exact"/>
        <w:rPr>
          <w:sz w:val="20"/>
          <w:szCs w:val="20"/>
          <w:color w:val="auto"/>
        </w:rPr>
      </w:pPr>
    </w:p>
    <w:p>
      <w:pPr>
        <w:ind w:right="8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is a reconciliation of the U.S. federal statutory rate of 21% to the Company’s effective rate for the year ended December 31, 2025 in accordance with the guidance in ASU No. 2023-09:</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Tax at the federal statutory rate . . . . . . . . . . . . . . . . . . . . . . . . . . . . . . . . . . . . . . .</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Nondeductible items</w:t>
      </w:r>
    </w:p>
    <w:p>
      <w:pPr>
        <w:spacing w:after="0" w:line="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Change in fair value of warrant liability . . . . . . . . . . . . . . . . . . . . . . . . . . . .</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Other permanent differences . . . . . . . . . . . . . . . . . . . . . . . . . . . . . . . . . . . . .</w:t>
      </w:r>
    </w:p>
    <w:p>
      <w:pPr>
        <w:spacing w:after="0" w:line="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Research and development credits . . . . . . . . . . . . . . . . . . . . . . . . . . . . . . . . . .</w:t>
      </w:r>
    </w:p>
    <w:p>
      <w:pPr>
        <w:spacing w:after="0" w:line="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Change in valuation allowance . . . . . . . . . . . . . . . . . . . . . . . . . . . . . . . . . . . . .</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State taxes . . . . . . . . . . . . . . . . . . . . . . . . . . . . . . . . . . . . . . . . . . . . . . . . . . . . . . .</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Provision for income taxes . . . . . . . . . . . . . . . . . . . . . . . . . . . . . . . . . . . . . . . . .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13970</wp:posOffset>
                </wp:positionV>
                <wp:extent cx="171450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pt" to="135pt,1.1pt" o:allowincell="f" strokecolor="#000000" strokeweight="0.5pt"/>
            </w:pict>
          </mc:Fallback>
        </mc:AlternateConten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(15,918)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21.00%</w:t>
            </w:r>
          </w:p>
        </w:tc>
      </w:tr>
      <w:tr>
        <w:trPr>
          <w:trHeight w:val="520"/>
        </w:trPr>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1,178</w:t>
            </w:r>
          </w:p>
        </w:tc>
        <w:tc>
          <w:tcPr>
            <w:tcW w:w="18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(1.55)</w:t>
            </w:r>
          </w:p>
        </w:tc>
      </w:tr>
      <w:tr>
        <w:trPr>
          <w:trHeight w:val="260"/>
        </w:trPr>
        <w:tc>
          <w:tcPr>
            <w:tcW w:w="3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(1,791)</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w:t>
            </w:r>
          </w:p>
        </w:tc>
        <w:tc>
          <w:tcPr>
            <w:tcW w:w="160" w:type="dxa"/>
            <w:vAlign w:val="bottom"/>
          </w:tcPr>
          <w:p>
            <w:pPr>
              <w:spacing w:after="0"/>
              <w:rPr>
                <w:sz w:val="22"/>
                <w:szCs w:val="22"/>
                <w:color w:val="auto"/>
              </w:rPr>
            </w:pPr>
          </w:p>
        </w:tc>
      </w:tr>
      <w:tr>
        <w:trPr>
          <w:trHeight w:val="260"/>
        </w:trPr>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(0.05)</w:t>
            </w:r>
          </w:p>
        </w:tc>
      </w:tr>
      <w:tr>
        <w:trPr>
          <w:trHeight w:val="260"/>
        </w:trPr>
        <w:tc>
          <w:tcPr>
            <w:tcW w:w="3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(1,308)</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w:t>
            </w:r>
          </w:p>
        </w:tc>
        <w:tc>
          <w:tcPr>
            <w:tcW w:w="160" w:type="dxa"/>
            <w:vAlign w:val="bottom"/>
          </w:tcPr>
          <w:p>
            <w:pPr>
              <w:spacing w:after="0"/>
              <w:rPr>
                <w:sz w:val="22"/>
                <w:szCs w:val="22"/>
                <w:color w:val="auto"/>
              </w:rPr>
            </w:pPr>
          </w:p>
        </w:tc>
      </w:tr>
      <w:tr>
        <w:trPr>
          <w:trHeight w:val="260"/>
        </w:trPr>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17,807</w:t>
            </w:r>
          </w:p>
        </w:tc>
        <w:tc>
          <w:tcPr>
            <w:tcW w:w="18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(23.49)</w:t>
            </w:r>
          </w:p>
        </w:tc>
      </w:tr>
      <w:tr>
        <w:trPr>
          <w:trHeight w:val="261"/>
        </w:trPr>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2"/>
                <w:szCs w:val="22"/>
                <w:color w:val="auto"/>
              </w:rPr>
            </w:pPr>
          </w:p>
        </w:tc>
      </w:tr>
      <w:tr>
        <w:trPr>
          <w:trHeight w:val="240"/>
        </w:trPr>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5" w:lineRule="exact"/>
        <w:rPr>
          <w:sz w:val="20"/>
          <w:szCs w:val="20"/>
          <w:color w:val="auto"/>
        </w:rPr>
      </w:pPr>
    </w:p>
    <w:p>
      <w:pPr>
        <w:sectPr>
          <w:pgSz w:w="12240" w:h="15840" w:orient="portrait"/>
          <w:cols w:equalWidth="0" w:num="2">
            <w:col w:w="6360" w:space="180"/>
            <w:col w:w="2820"/>
          </w:cols>
          <w:pgMar w:left="1440" w:top="941" w:right="1440" w:bottom="353" w:gutter="0" w:footer="0" w:header="0"/>
          <w:type w:val="continuous"/>
        </w:sectPr>
      </w:pPr>
    </w:p>
    <w:p>
      <w:pPr>
        <w:ind w:right="140" w:firstLine="480"/>
        <w:spacing w:after="0" w:line="243" w:lineRule="auto"/>
        <w:rPr>
          <w:sz w:val="20"/>
          <w:szCs w:val="20"/>
          <w:color w:val="auto"/>
        </w:rPr>
      </w:pPr>
      <w:r>
        <w:rPr>
          <w:rFonts w:ascii="Times New Roman" w:cs="Times New Roman" w:eastAsia="Times New Roman" w:hAnsi="Times New Roman"/>
          <w:sz w:val="20"/>
          <w:szCs w:val="20"/>
          <w:color w:val="auto"/>
        </w:rPr>
        <w:t>The following table presents a reconciliation of the income tax expense computed at the statutory federal rate and the Company’s income tax expense for the year ended December 31, 2024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00"/>
        </w:trPr>
        <w:tc>
          <w:tcPr>
            <w:tcW w:w="7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line="200"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r>
      <w:tr>
        <w:trPr>
          <w:trHeight w:val="247"/>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Federal statutory tax rate . . . . . . . . . . . . . . . . . . . . . . . . . . . . . . . . . . . . . . . . . . . . . . . . . . . . . . . . . . .</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(14,966)</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State taxes . . . . . . . . . . . . . . . . . . . . . . . . . . . . . . . . . . . . . . . . . . . . . . . . . . . . . . . . . . . . . . . . . . . . . .</w:t>
            </w: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credits . . . . . . . . . . . . . . . . . . . . . . . . . . . . . . . . . . . . . . . . . . . . . . . . . . .</w:t>
            </w:r>
          </w:p>
        </w:tc>
        <w:tc>
          <w:tcPr>
            <w:tcW w:w="10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(1,492)</w:t>
            </w: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w:t>
            </w:r>
          </w:p>
        </w:tc>
        <w:tc>
          <w:tcPr>
            <w:tcW w:w="60" w:type="dxa"/>
            <w:vAlign w:val="bottom"/>
          </w:tcPr>
          <w:p>
            <w:pPr>
              <w:spacing w:after="0"/>
              <w:rPr>
                <w:sz w:val="22"/>
                <w:szCs w:val="22"/>
                <w:color w:val="auto"/>
              </w:rPr>
            </w:pPr>
          </w:p>
        </w:tc>
      </w:tr>
      <w:tr>
        <w:trPr>
          <w:trHeight w:val="26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Other permanent differences . . . . . . . . . . . . . . . . . . . . . . . . . . . . . . . . . . . . . . . . . . . . . . . . . . . . . . . .</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60" w:type="dxa"/>
            <w:vAlign w:val="bottom"/>
          </w:tcPr>
          <w:p>
            <w:pPr>
              <w:spacing w:after="0"/>
              <w:rPr>
                <w:sz w:val="22"/>
                <w:szCs w:val="22"/>
                <w:color w:val="auto"/>
              </w:rPr>
            </w:pPr>
          </w:p>
        </w:tc>
      </w:tr>
      <w:tr>
        <w:trPr>
          <w:trHeight w:val="261"/>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 . . . . . . . . . . . . . . . . . . . . . . . . . . . . . . . . . . . . . . . . . . . . . . . . . . . . . .</w:t>
            </w: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15,123</w:t>
            </w:r>
          </w:p>
        </w:tc>
        <w:tc>
          <w:tcPr>
            <w:tcW w:w="60" w:type="dxa"/>
            <w:vAlign w:val="bottom"/>
          </w:tcPr>
          <w:p>
            <w:pPr>
              <w:spacing w:after="0"/>
              <w:rPr>
                <w:sz w:val="22"/>
                <w:szCs w:val="22"/>
                <w:color w:val="auto"/>
              </w:rPr>
            </w:pPr>
          </w:p>
        </w:tc>
      </w:tr>
      <w:tr>
        <w:trPr>
          <w:trHeight w:val="240"/>
        </w:trPr>
        <w:tc>
          <w:tcPr>
            <w:tcW w:w="798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 . . . . . . . . . . . . . . . . . . . . . . . . . . . . . . . . . . . . . . . . . . . . . . . . . . . . . . . . .</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0"/>
                <w:szCs w:val="20"/>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5" w:lineRule="exact"/>
        <w:rPr>
          <w:sz w:val="20"/>
          <w:szCs w:val="20"/>
          <w:color w:val="auto"/>
        </w:rPr>
      </w:pPr>
    </w:p>
    <w:p>
      <w:pPr>
        <w:ind w:right="380" w:firstLine="480"/>
        <w:spacing w:after="0" w:line="243" w:lineRule="auto"/>
        <w:rPr>
          <w:sz w:val="20"/>
          <w:szCs w:val="20"/>
          <w:color w:val="auto"/>
        </w:rPr>
      </w:pPr>
      <w:r>
        <w:rPr>
          <w:rFonts w:ascii="Times New Roman" w:cs="Times New Roman" w:eastAsia="Times New Roman" w:hAnsi="Times New Roman"/>
          <w:sz w:val="20"/>
          <w:szCs w:val="20"/>
          <w:color w:val="auto"/>
        </w:rPr>
        <w:t>Significant components of the Company’s net deferred tax assets (liabilities) as of December 31, 2025 and 2024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7"/>
                <w:szCs w:val="17"/>
                <w:color w:val="auto"/>
              </w:rPr>
            </w:pPr>
          </w:p>
        </w:tc>
      </w:tr>
      <w:tr>
        <w:trPr>
          <w:trHeight w:val="248"/>
        </w:trPr>
        <w:tc>
          <w:tcPr>
            <w:tcW w:w="6440" w:type="dxa"/>
            <w:vAlign w:val="bottom"/>
          </w:tcPr>
          <w:p>
            <w:pPr>
              <w:jc w:val="right"/>
              <w:ind w:right="4660"/>
              <w:spacing w:after="0"/>
              <w:rPr>
                <w:sz w:val="20"/>
                <w:szCs w:val="20"/>
                <w:color w:val="auto"/>
              </w:rPr>
            </w:pPr>
            <w:r>
              <w:rPr>
                <w:rFonts w:ascii="Times New Roman" w:cs="Times New Roman" w:eastAsia="Times New Roman" w:hAnsi="Times New Roman"/>
                <w:sz w:val="20"/>
                <w:szCs w:val="20"/>
                <w:b w:val="1"/>
                <w:bCs w:val="1"/>
                <w:color w:val="auto"/>
                <w:w w:val="98"/>
              </w:rPr>
              <w:t>Deferred tax assets:</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Accrued expenses and other . . . . . . . . . . . . . . . . . . . . . . . . . . . . . . . . . . . . . . . .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120" w:type="dxa"/>
            <w:vAlign w:val="bottom"/>
          </w:tcPr>
          <w:p>
            <w:pPr>
              <w:spacing w:after="0"/>
              <w:rPr>
                <w:sz w:val="22"/>
                <w:szCs w:val="22"/>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Intangibles . . .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Net operating losses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31,820</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Research and development credits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7,079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6,031</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Stock-based compensation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Lease liability . . . . . . .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Section 195 start-up amortization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Capitalized section 174 . . . . . . . . . . . . . . . . . . . . . . . . . . . . . . . . . . . . . . . . . . . .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21,128</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 . . . . . . . . . . . . . . . . .</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60" w:type="dxa"/>
            <w:vAlign w:val="bottom"/>
          </w:tcPr>
          <w:p>
            <w:pPr>
              <w:spacing w:after="0"/>
              <w:rPr>
                <w:sz w:val="22"/>
                <w:szCs w:val="22"/>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.Totaldeferredtaxassets........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77,796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61,824</w:t>
            </w:r>
          </w:p>
        </w:tc>
        <w:tc>
          <w:tcPr>
            <w:tcW w:w="60" w:type="dxa"/>
            <w:vAlign w:val="bottom"/>
          </w:tcPr>
          <w:p>
            <w:pPr>
              <w:spacing w:after="0"/>
              <w:rPr>
                <w:sz w:val="20"/>
                <w:szCs w:val="20"/>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Valuation allowance . . . . . . . . . . . . . . . . . . . . . . . . . . . . . . . . . . . . . . . . . . . . . .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(77,691)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(61,590)</w:t>
            </w: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.Totalnetdeferredtaxassets.....</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360"/>
          </w:cols>
          <w:pgMar w:left="1440" w:top="941" w:right="1440" w:bottom="353" w:gutter="0" w:footer="0" w:header="0"/>
          <w:type w:val="continuous"/>
        </w:sectPr>
      </w:pPr>
    </w:p>
    <w:bookmarkStart w:id="139" w:name="page140"/>
    <w:bookmarkEnd w:id="13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INCOME TAXES </w:t>
      </w:r>
      <w:r>
        <w:rPr>
          <w:rFonts w:ascii="Times New Roman" w:cs="Times New Roman" w:eastAsia="Times New Roman" w:hAnsi="Times New Roman"/>
          <w:sz w:val="20"/>
          <w:szCs w:val="20"/>
          <w:color w:val="auto"/>
        </w:rPr>
        <w:t>(cont.)</w:t>
      </w:r>
    </w:p>
    <w:p>
      <w:pPr>
        <w:spacing w:after="0" w:line="203"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13970</wp:posOffset>
                </wp:positionV>
                <wp:extent cx="17145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pt" to="462pt,1.1pt" o:allowincell="f" strokecolor="#000000" strokeweight="0.5pt"/>
            </w:pict>
          </mc:Fallback>
        </mc:AlternateContent>
      </w:r>
    </w:p>
    <w:p>
      <w:pPr>
        <w:jc w:val="both"/>
        <w:ind w:left="7000"/>
        <w:spacing w:after="0"/>
        <w:tabs>
          <w:tab w:leader="none" w:pos="84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4152900</wp:posOffset>
                </wp:positionH>
                <wp:positionV relativeFrom="paragraph">
                  <wp:posOffset>13970</wp:posOffset>
                </wp:positionV>
                <wp:extent cx="80010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pt,1.1pt" to="390pt,1.1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5067300</wp:posOffset>
                </wp:positionH>
                <wp:positionV relativeFrom="paragraph">
                  <wp:posOffset>13970</wp:posOffset>
                </wp:positionV>
                <wp:extent cx="80010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pt,1.1pt" to="462pt,1.1pt" o:allowincell="f" strokecolor="#000000" strokeweight="0.5pt"/>
            </w:pict>
          </mc:Fallback>
        </mc:AlternateContent>
      </w:r>
    </w:p>
    <w:p>
      <w:pPr>
        <w:sectPr>
          <w:pgSz w:w="12240" w:h="15840" w:orient="portrait"/>
          <w:cols w:equalWidth="0" w:num="1">
            <w:col w:w="9360"/>
          </w:cols>
          <w:pgMar w:left="1440" w:top="941" w:right="1440" w:bottom="353" w:gutter="0" w:footer="0" w:header="0"/>
        </w:sectPr>
      </w:pP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Deferred tax liabilities: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Right-of-use asset . . . . . . . . . . . . . . . . . . . . . . . . . . . . . . . . . . . . . . . . . . . . . . . . .</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Fixed assets . . . . . . . . . . . . . . . . . . . . . . . . . . . . . . . . . . . . . . . . . . . . . . . . . . . . . .</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deferred tax liabilities . . . . . . . . . . . . . . . . . . . . . . . . . . . . . . . . . . . . . . . . .</w:t>
      </w:r>
    </w:p>
    <w:p>
      <w:pPr>
        <w:spacing w:after="0" w:line="29" w:lineRule="exact"/>
        <w:rPr>
          <w:sz w:val="20"/>
          <w:szCs w:val="20"/>
          <w:color w:val="auto"/>
        </w:rPr>
      </w:pPr>
    </w:p>
    <w:p>
      <w:pPr>
        <w:spacing w:after="0"/>
        <w:tabs>
          <w:tab w:leader="none" w:pos="6520" w:val="left"/>
        </w:tabs>
        <w:rPr>
          <w:sz w:val="20"/>
          <w:szCs w:val="20"/>
          <w:color w:val="auto"/>
        </w:rPr>
      </w:pPr>
      <w:r>
        <w:rPr>
          <w:rFonts w:ascii="Times New Roman" w:cs="Times New Roman" w:eastAsia="Times New Roman" w:hAnsi="Times New Roman"/>
          <w:sz w:val="20"/>
          <w:szCs w:val="20"/>
          <w:b w:val="1"/>
          <w:bCs w:val="1"/>
          <w:color w:val="auto"/>
        </w:rPr>
        <w:t xml:space="preserve">Net deferred tax assets </w:t>
      </w:r>
      <w:r>
        <w:rPr>
          <w:rFonts w:ascii="Times New Roman" w:cs="Times New Roman" w:eastAsia="Times New Roman" w:hAnsi="Times New Roman"/>
          <w:sz w:val="20"/>
          <w:szCs w:val="20"/>
          <w:color w:val="auto"/>
        </w:rPr>
        <w:t>. . . . . . . . . . . . . . . . . . . . . . . . . . . . . . . . . . . . . . . . . . . .</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1434" w:hanging="1434"/>
        <w:spacing w:after="0"/>
        <w:tabs>
          <w:tab w:leader="none" w:pos="14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(206)</w:t>
      </w:r>
    </w:p>
    <w:p>
      <w:pPr>
        <w:spacing w:after="0" w:line="30" w:lineRule="exact"/>
        <w:rPr>
          <w:rFonts w:ascii="Times New Roman" w:cs="Times New Roman" w:eastAsia="Times New Roman" w:hAnsi="Times New Roman"/>
          <w:sz w:val="20"/>
          <w:szCs w:val="20"/>
          <w:color w:val="auto"/>
        </w:rPr>
      </w:pPr>
    </w:p>
    <w:p>
      <w:pPr>
        <w:ind w:left="17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—(28)</w:t>
      </w:r>
    </w:p>
    <w:p>
      <w:pPr>
        <w:spacing w:after="0" w:line="30" w:lineRule="exact"/>
        <w:rPr>
          <w:rFonts w:ascii="Times New Roman" w:cs="Times New Roman" w:eastAsia="Times New Roman" w:hAnsi="Times New Roman"/>
          <w:sz w:val="20"/>
          <w:szCs w:val="20"/>
          <w:color w:val="auto"/>
        </w:rPr>
      </w:pPr>
    </w:p>
    <w:p>
      <w:pPr>
        <w:ind w:left="1434" w:hanging="1433"/>
        <w:spacing w:after="0"/>
        <w:tabs>
          <w:tab w:leader="none" w:pos="14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(234)</w:t>
      </w:r>
    </w:p>
    <w:p>
      <w:pPr>
        <w:spacing w:after="0" w:line="30" w:lineRule="exact"/>
        <w:rPr>
          <w:rFonts w:ascii="Times New Roman" w:cs="Times New Roman" w:eastAsia="Times New Roman" w:hAnsi="Times New Roman"/>
          <w:sz w:val="20"/>
          <w:szCs w:val="20"/>
          <w:color w:val="auto"/>
        </w:rPr>
      </w:pPr>
    </w:p>
    <w:p>
      <w:pPr>
        <w:ind w:left="17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-562610</wp:posOffset>
                </wp:positionH>
                <wp:positionV relativeFrom="paragraph">
                  <wp:posOffset>-325755</wp:posOffset>
                </wp:positionV>
                <wp:extent cx="79946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999pt,-25.6499pt" to="18.65pt,-25.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351155</wp:posOffset>
                </wp:positionH>
                <wp:positionV relativeFrom="paragraph">
                  <wp:posOffset>-325755</wp:posOffset>
                </wp:positionV>
                <wp:extent cx="8001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5pt,-25.6499pt" to="90.65pt,-25.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-562610</wp:posOffset>
                </wp:positionH>
                <wp:positionV relativeFrom="paragraph">
                  <wp:posOffset>-160655</wp:posOffset>
                </wp:positionV>
                <wp:extent cx="79946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999pt,-12.6499pt" to="18.65pt,-12.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351155</wp:posOffset>
                </wp:positionH>
                <wp:positionV relativeFrom="paragraph">
                  <wp:posOffset>-160655</wp:posOffset>
                </wp:positionV>
                <wp:extent cx="8001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5pt,-12.6499pt" to="90.65pt,-12.649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-562610</wp:posOffset>
                </wp:positionH>
                <wp:positionV relativeFrom="paragraph">
                  <wp:posOffset>3810</wp:posOffset>
                </wp:positionV>
                <wp:extent cx="79946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999pt,0.3pt" to="18.65pt,0.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-562610</wp:posOffset>
                </wp:positionH>
                <wp:positionV relativeFrom="paragraph">
                  <wp:posOffset>16510</wp:posOffset>
                </wp:positionV>
                <wp:extent cx="79946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9465"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999pt,1.3pt" to="18.65pt,1.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351155</wp:posOffset>
                </wp:positionH>
                <wp:positionV relativeFrom="paragraph">
                  <wp:posOffset>3810</wp:posOffset>
                </wp:positionV>
                <wp:extent cx="8001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5pt,0.3pt" to="90.65pt,0.3pt" o:allowincell="f" strokecolor="#000000" strokeweight="0.499pt"/>
            </w:pict>
          </mc:Fallback>
        </mc:AlternateContent>
        <mc:AlternateContent>
          <mc:Choice Requires="wps">
            <w:drawing>
              <wp:anchor simplePos="0" relativeHeight="251657728" behindDoc="1" locked="0" layoutInCell="0" allowOverlap="1">
                <wp:simplePos x="0" y="0"/>
                <wp:positionH relativeFrom="column">
                  <wp:posOffset>351155</wp:posOffset>
                </wp:positionH>
                <wp:positionV relativeFrom="paragraph">
                  <wp:posOffset>16510</wp:posOffset>
                </wp:positionV>
                <wp:extent cx="8001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0100" cy="4763"/>
                        </a:xfrm>
                        <a:prstGeom prst="line">
                          <a:avLst/>
                        </a:prstGeom>
                        <a:solidFill>
                          <a:srgbClr val="FFFFFF"/>
                        </a:solidFill>
                        <a:ln w="6337">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5pt,1.3pt" to="90.65pt,1.3pt" o:allowincell="f" strokecolor="#000000" strokeweight="0.499pt"/>
            </w:pict>
          </mc:Fallback>
        </mc:AlternateContent>
      </w:r>
    </w:p>
    <w:p>
      <w:pPr>
        <w:spacing w:after="0" w:line="157" w:lineRule="exact"/>
        <w:rPr>
          <w:sz w:val="20"/>
          <w:szCs w:val="20"/>
          <w:color w:val="auto"/>
        </w:rPr>
      </w:pPr>
    </w:p>
    <w:p>
      <w:pPr>
        <w:sectPr>
          <w:pgSz w:w="12240" w:h="15840" w:orient="portrait"/>
          <w:cols w:equalWidth="0" w:num="2">
            <w:col w:w="6706" w:space="720"/>
            <w:col w:w="1934"/>
          </w:cols>
          <w:pgMar w:left="1440" w:top="941" w:right="1440" w:bottom="353" w:gutter="0" w:footer="0" w:header="0"/>
          <w:type w:val="continuous"/>
        </w:sectPr>
      </w:pPr>
    </w:p>
    <w:p>
      <w:pPr>
        <w:ind w:firstLine="480"/>
        <w:spacing w:after="0" w:line="248" w:lineRule="auto"/>
        <w:rPr>
          <w:sz w:val="20"/>
          <w:szCs w:val="20"/>
          <w:color w:val="auto"/>
        </w:rPr>
      </w:pPr>
      <w:r>
        <w:rPr>
          <w:rFonts w:ascii="Times New Roman" w:cs="Times New Roman" w:eastAsia="Times New Roman" w:hAnsi="Times New Roman"/>
          <w:sz w:val="20"/>
          <w:szCs w:val="20"/>
          <w:color w:val="auto"/>
        </w:rPr>
        <w:t>A valuation allowance is provided when it is more likely than not that some portion of the deferred tax assets will not be realized. The Company believes that, based on a number of factors such as the history of operating losses, it is more likely than not that the deferred tax assets will not be fully realized, such that a full valuation allowance has been recorded. The valuation allowance increased by $16.1 million and $15.1 million for the years ended December 31, 2025 and 2024, respectively.</w:t>
      </w:r>
    </w:p>
    <w:p>
      <w:pPr>
        <w:spacing w:after="0" w:line="1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sets forth the Company’s federal and state net operating loss carryforwards as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10"/>
        </w:trPr>
        <w:tc>
          <w:tcPr>
            <w:tcW w:w="6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2"/>
              <w:spacing w:after="0" w:line="201" w:lineRule="exact"/>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148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47"/>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losses, Federal . . . . . . . . . . . . . . . .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210,421</w:t>
            </w:r>
          </w:p>
        </w:tc>
        <w:tc>
          <w:tcPr>
            <w:tcW w:w="18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Do not expire</w:t>
            </w:r>
          </w:p>
        </w:tc>
      </w:tr>
      <w:tr>
        <w:trPr>
          <w:trHeight w:val="26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losses, states primarily California .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64,946</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2038 – 2042</w:t>
            </w:r>
          </w:p>
        </w:tc>
      </w:tr>
      <w:tr>
        <w:trPr>
          <w:trHeight w:val="26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Tax credits, Federal . . . . . . . . . . . . . . . . . . . . . . . .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6,630</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2040 – 2045</w:t>
            </w:r>
          </w:p>
        </w:tc>
      </w:tr>
      <w:tr>
        <w:trPr>
          <w:trHeight w:val="260"/>
        </w:trPr>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Tax credits, state . . . . . . . . . . . . . . . . . . . . . . . . . . . . . . . . . . . . . . . . . . . . . . .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4,680</w:t>
            </w:r>
          </w:p>
        </w:tc>
        <w:tc>
          <w:tcPr>
            <w:tcW w:w="1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r>
    </w:tbl>
    <w:p>
      <w:pPr>
        <w:spacing w:after="0" w:line="157" w:lineRule="exact"/>
        <w:rPr>
          <w:sz w:val="20"/>
          <w:szCs w:val="20"/>
          <w:color w:val="auto"/>
        </w:rPr>
      </w:pPr>
    </w:p>
    <w:p>
      <w:pPr>
        <w:ind w:right="80" w:firstLine="480"/>
        <w:spacing w:after="0" w:line="248" w:lineRule="auto"/>
        <w:rPr>
          <w:sz w:val="20"/>
          <w:szCs w:val="20"/>
          <w:color w:val="auto"/>
        </w:rPr>
      </w:pPr>
      <w:r>
        <w:rPr>
          <w:rFonts w:ascii="Times New Roman" w:cs="Times New Roman" w:eastAsia="Times New Roman" w:hAnsi="Times New Roman"/>
          <w:sz w:val="20"/>
          <w:szCs w:val="20"/>
          <w:color w:val="auto"/>
        </w:rPr>
        <w:t>As of December 31, 2025, the Company had research and development credit carryforwards of approximately $2.1 million and $1.4 million available to reduce future taxable income, if any, for both federal and California state income tax purposes, respectively. The federal research and development credit carryforwards begin expiring in 2040, and California credits carryforward indefinitely.</w:t>
      </w:r>
    </w:p>
    <w:p>
      <w:pPr>
        <w:spacing w:after="0" w:line="169"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20"/>
          <w:szCs w:val="20"/>
          <w:color w:val="auto"/>
        </w:rPr>
        <w:t>Utilization of the net operating loss carryforwards and research credit carryforwards may be subject to an annual limitation due to the ownership percentage change limitations provided by the Internal Revenue Code, as amended (“IRC”), and similar state provisions. Annual limitations may result in the expiration of the net operating losses and tax credit carryforwards before they are utilized. As of December 31, 2022, the Company has completed an IRC Section 382 analysis from inception through the year ended December 31, 2022. The Company experienced an ownership change on November 21, 2019 related to Series A redeemable convertible preferred stock financing. Any net operating loss generated in excess of the $2.9 million will be permanently limited for California tax purposes. The Company reduced its California net operating loss deferred tax assets balance by the permanently limited amount of $0.6 million. Net federal operating losses are not limited as they can be carried forward indefinitely. The Company experienced an additional ownership change on September 24, 2021 in connection with the business combination with Amplitude Healthcare Acquisition Corporation, a special purpose acquisition company. Any further potential ownership change will be evaluated through a section 382 study. However, the Company does not expect there are additional tax attributes that will expire unused before the expiration periods.</w:t>
      </w:r>
    </w:p>
    <w:p>
      <w:pPr>
        <w:sectPr>
          <w:pgSz w:w="12240" w:h="15840" w:orient="portrait"/>
          <w:cols w:equalWidth="0" w:num="1">
            <w:col w:w="9360"/>
          </w:cols>
          <w:pgMar w:left="1440" w:top="941" w:right="1440" w:bottom="3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360"/>
          </w:cols>
          <w:pgMar w:left="1440" w:top="941" w:right="1440" w:bottom="353"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12. INCOME TAXES </w:t>
      </w:r>
      <w:r>
        <w:rPr>
          <w:rFonts w:ascii="Times New Roman" w:cs="Times New Roman" w:eastAsia="Times New Roman" w:hAnsi="Times New Roman"/>
          <w:sz w:val="20"/>
          <w:szCs w:val="20"/>
          <w:color w:val="auto"/>
        </w:rPr>
        <w:t>(cont.)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Uncertain Tax Positions</w:t>
      </w:r>
    </w:p>
    <w:p>
      <w:pPr>
        <w:spacing w:after="0" w:line="177" w:lineRule="exact"/>
        <w:rPr>
          <w:sz w:val="20"/>
          <w:szCs w:val="20"/>
          <w:color w:val="auto"/>
        </w:rPr>
      </w:pPr>
    </w:p>
    <w:p>
      <w:pPr>
        <w:ind w:right="420" w:firstLine="480"/>
        <w:spacing w:after="0" w:line="243" w:lineRule="auto"/>
        <w:rPr>
          <w:sz w:val="20"/>
          <w:szCs w:val="20"/>
          <w:color w:val="auto"/>
        </w:rPr>
      </w:pPr>
      <w:r>
        <w:rPr>
          <w:rFonts w:ascii="Times New Roman" w:cs="Times New Roman" w:eastAsia="Times New Roman" w:hAnsi="Times New Roman"/>
          <w:sz w:val="20"/>
          <w:szCs w:val="20"/>
          <w:color w:val="auto"/>
        </w:rPr>
        <w:t>A reconciliation of the beginning and ending balances of the unrecognized tax benefits during the periods ended December 31, 2025 and 2024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auto"/>
            </w:tcBorders>
            <w:gridSpan w:val="6"/>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08"/>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42"/>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5"/>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year . . . . . . . . . . . . . . . . . . . . . . . . . . . . . . . . . . . . . . . . .</w:t>
            </w:r>
          </w:p>
        </w:tc>
        <w:tc>
          <w:tcPr>
            <w:tcW w:w="820" w:type="dxa"/>
            <w:vAlign w:val="bottom"/>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3,059</w:t>
            </w:r>
          </w:p>
        </w:tc>
        <w:tc>
          <w:tcPr>
            <w:tcW w:w="120" w:type="dxa"/>
            <w:vAlign w:val="bottom"/>
          </w:tcPr>
          <w:p>
            <w:pPr>
              <w:spacing w:after="0"/>
              <w:rPr>
                <w:sz w:val="21"/>
                <w:szCs w:val="21"/>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2,420</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Additions based on tax positions related to current year . . . . . . . . . . . . . . . . . . .</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709</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0" w:type="dxa"/>
            <w:vAlign w:val="bottom"/>
          </w:tcPr>
          <w:p>
            <w:pPr>
              <w:spacing w:after="0"/>
              <w:rPr>
                <w:sz w:val="1"/>
                <w:szCs w:val="1"/>
                <w:color w:val="auto"/>
              </w:rPr>
            </w:pPr>
          </w:p>
        </w:tc>
      </w:tr>
      <w:tr>
        <w:trPr>
          <w:trHeight w:val="260"/>
        </w:trPr>
        <w:tc>
          <w:tcPr>
            <w:tcW w:w="6540" w:type="dxa"/>
            <w:vAlign w:val="bottom"/>
          </w:tcPr>
          <w:p>
            <w:pPr>
              <w:spacing w:after="0"/>
              <w:rPr>
                <w:sz w:val="20"/>
                <w:szCs w:val="20"/>
                <w:color w:val="auto"/>
              </w:rPr>
            </w:pPr>
            <w:r>
              <w:rPr>
                <w:rFonts w:ascii="Times New Roman" w:cs="Times New Roman" w:eastAsia="Times New Roman" w:hAnsi="Times New Roman"/>
                <w:sz w:val="20"/>
                <w:szCs w:val="20"/>
                <w:color w:val="auto"/>
              </w:rPr>
              <w:t>Lapse of the applicable statute of limitations . . . . . . . . . . . . . . . . . . . . . . . . . . . .</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Balance at end of year . . . . . . . . . . . . . . . . . . . . . . . . . . . . . . . . . . . . . . . . . . . . . .</w:t>
            </w: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40" w:type="dxa"/>
            <w:vAlign w:val="bottom"/>
            <w:vMerge w:val="continue"/>
          </w:tcPr>
          <w:p>
            <w:pPr>
              <w:spacing w:after="0"/>
              <w:rPr>
                <w:sz w:val="20"/>
                <w:szCs w:val="20"/>
                <w:color w:val="auto"/>
              </w:rPr>
            </w:pPr>
          </w:p>
        </w:tc>
        <w:tc>
          <w:tcPr>
            <w:tcW w:w="82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3"/>
              </w:rPr>
              <w:t>3,678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3,059</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80" w:firstLine="480"/>
        <w:spacing w:after="0" w:line="246" w:lineRule="auto"/>
        <w:rPr>
          <w:sz w:val="20"/>
          <w:szCs w:val="20"/>
          <w:color w:val="auto"/>
        </w:rPr>
      </w:pPr>
      <w:r>
        <w:rPr>
          <w:rFonts w:ascii="Times New Roman" w:cs="Times New Roman" w:eastAsia="Times New Roman" w:hAnsi="Times New Roman"/>
          <w:sz w:val="20"/>
          <w:szCs w:val="20"/>
          <w:color w:val="auto"/>
        </w:rPr>
        <w:t>The Company recognizes interest accrued related to unrecognized tax benefits and penalties as income tax expense. Related to the unrecognized tax benefits noted above, the Company did not accrue any penalties or interest during tax year 2025 and 2024.</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is subject to examination by the United States federal and state tax authorities for the tax years</w:t>
      </w:r>
    </w:p>
    <w:p>
      <w:pPr>
        <w:spacing w:after="0" w:line="1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2022 and later. State income tax returns are generally subject to examination for a period of four years after filing of the respective return. To the extent the Company has tax attribute carryforwards, the tax years in which the attribute was generated may still be adjusted upon examination by the Internal Revenue Service and state tax authorities to the extent utilized in a future period. No income tax returns are currently under examination by taxing authorities.</w:t>
      </w:r>
    </w:p>
    <w:p>
      <w:pPr>
        <w:spacing w:after="0" w:line="155" w:lineRule="exact"/>
        <w:rPr>
          <w:sz w:val="20"/>
          <w:szCs w:val="20"/>
          <w:color w:val="auto"/>
        </w:rPr>
      </w:pPr>
    </w:p>
    <w:p>
      <w:pPr>
        <w:ind w:right="140" w:firstLine="480"/>
        <w:spacing w:after="0" w:line="248" w:lineRule="auto"/>
        <w:rPr>
          <w:sz w:val="20"/>
          <w:szCs w:val="20"/>
          <w:color w:val="auto"/>
        </w:rPr>
      </w:pPr>
      <w:r>
        <w:rPr>
          <w:rFonts w:ascii="Times New Roman" w:cs="Times New Roman" w:eastAsia="Times New Roman" w:hAnsi="Times New Roman"/>
          <w:sz w:val="20"/>
          <w:szCs w:val="20"/>
          <w:color w:val="auto"/>
        </w:rPr>
        <w:t>On July 4, 2025, new legislation was enacted in the United States which includes significant provisions, including, but not limited to, modifications of capitalization of research and development expenses and accelerated fixed asset depreciation. The legislation has multiple effective dates, with certain provisions effective in 2025 and others implemented through 2027. The Company has evaluated the impact of new legislation and determined that it does not have a material impact on the Company’s consolidated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13. 401(K) SAVINGS PLAN</w:t>
      </w:r>
    </w:p>
    <w:p>
      <w:pPr>
        <w:spacing w:after="0" w:line="177" w:lineRule="exact"/>
        <w:rPr>
          <w:sz w:val="20"/>
          <w:szCs w:val="20"/>
          <w:color w:val="auto"/>
        </w:rPr>
      </w:pPr>
    </w:p>
    <w:p>
      <w:pPr>
        <w:ind w:right="180" w:firstLine="480"/>
        <w:spacing w:after="0" w:line="248" w:lineRule="auto"/>
        <w:rPr>
          <w:sz w:val="20"/>
          <w:szCs w:val="20"/>
          <w:color w:val="auto"/>
        </w:rPr>
      </w:pPr>
      <w:r>
        <w:rPr>
          <w:rFonts w:ascii="Times New Roman" w:cs="Times New Roman" w:eastAsia="Times New Roman" w:hAnsi="Times New Roman"/>
          <w:sz w:val="20"/>
          <w:szCs w:val="20"/>
          <w:color w:val="auto"/>
        </w:rPr>
        <w:t>The Company has a retirement and savings plan under Section 401(k) of the IRC (the “401(k) Plan”), covering all U.S. employees. The 401(k) Plan allows employees to make pre-tax contributions up to the maximum allowable amount set by the Internal Revenue Service. The Company may make contributions to the 401(k) Plan at its discretion. $0.2 million contributions were made to the 401(k) Plan by the Company for each of the years ended December 31, 2025 and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RELATED PARTIES</w:t>
      </w:r>
    </w:p>
    <w:p>
      <w:pPr>
        <w:spacing w:after="0" w:line="177"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20"/>
          <w:szCs w:val="20"/>
          <w:color w:val="auto"/>
        </w:rPr>
        <w:t>The Company entered into consulting agreements with two founders, one of whom is also a member of the Company’s Board of Directors (the “Board”), and each of whom also received founders’ common stock shares for services and assigned patents. The Company recorded $0.3 million for advisory and consulting services performed by Professor Judith Shizuru, one of the founders of the Company and a member of the Board, as research and development expenses in the consolidated statements of operations and comprehensive loss for the year ended December 31, 2024. No expense was recorded for advisory and consulting services performed by Dr. Shizuru during the year ended December 31, 2025.</w:t>
      </w:r>
    </w:p>
    <w:p>
      <w:pPr>
        <w:spacing w:after="0" w:line="170" w:lineRule="exact"/>
        <w:rPr>
          <w:sz w:val="20"/>
          <w:szCs w:val="20"/>
          <w:color w:val="auto"/>
        </w:rPr>
      </w:pPr>
    </w:p>
    <w:p>
      <w:pPr>
        <w:ind w:right="120" w:firstLine="480"/>
        <w:spacing w:after="0" w:line="248" w:lineRule="auto"/>
        <w:rPr>
          <w:sz w:val="20"/>
          <w:szCs w:val="20"/>
          <w:color w:val="auto"/>
        </w:rPr>
      </w:pPr>
      <w:r>
        <w:rPr>
          <w:rFonts w:ascii="Times New Roman" w:cs="Times New Roman" w:eastAsia="Times New Roman" w:hAnsi="Times New Roman"/>
          <w:sz w:val="20"/>
          <w:szCs w:val="20"/>
          <w:color w:val="auto"/>
        </w:rPr>
        <w:t>The Company recorded $0.1 million in accounts payable and accrued expenses related to advisory and consulting services performed by Dr. Shizuru as of December 31, 2024, and no expenses were recorded in accounts payable and accrued expenses as of December 31, 2025. Also, the Company’s Licensed Technology from Stanford (see Note 6) was created in the Stanford laboratory of Dr. Shizuru.</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360"/>
          </w:cols>
          <w:pgMar w:left="1440" w:top="941" w:right="1440" w:bottom="353"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14. RELATED PARTIES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In the first quarter of 2024, a senior executive of the Company joined the board of directors of an information technology service provider that the Company has utilized to support a broad array of the Company’s systems infrastructure as well as for general information technology support services. For the years ended December 31, 2025 and 2024, the Company incurred $0.9 million and $1.4 million, respectively, for various information technology support services performed by this service provider. As of December 31, 2025 and 2024, there was $0.1 million and less than $0.1 million, respectively, of accounts payable recognized in the consolidated balance sheets.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15. SEGMENT INFORMATION</w:t>
      </w:r>
    </w:p>
    <w:p>
      <w:pPr>
        <w:spacing w:after="0" w:line="17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20"/>
          <w:szCs w:val="20"/>
          <w:color w:val="auto"/>
        </w:rPr>
        <w:t>The Company has determined it operates as a single operating and reportable segment, which is the research and development of therapeutic products in the fields of chronic urticaria and asthma. The Company’s chief operating decision maker, its Chief Executive Officer (the “CEO”), manages the Company’s operations on a consolidated basis. The CEO assesses the segment’s performance and allocates resources based on review of various development, manufacturing and clinical programs expenses, along with the segment’s personnel and general and overhead costs.</w:t>
      </w:r>
    </w:p>
    <w:p>
      <w:pPr>
        <w:spacing w:after="0" w:line="168" w:lineRule="exact"/>
        <w:rPr>
          <w:sz w:val="20"/>
          <w:szCs w:val="20"/>
          <w:color w:val="auto"/>
        </w:rPr>
      </w:pPr>
    </w:p>
    <w:p>
      <w:pPr>
        <w:ind w:right="200" w:firstLine="480"/>
        <w:spacing w:after="0" w:line="246" w:lineRule="auto"/>
        <w:rPr>
          <w:sz w:val="20"/>
          <w:szCs w:val="20"/>
          <w:color w:val="auto"/>
        </w:rPr>
      </w:pPr>
      <w:r>
        <w:rPr>
          <w:rFonts w:ascii="Times New Roman" w:cs="Times New Roman" w:eastAsia="Times New Roman" w:hAnsi="Times New Roman"/>
          <w:sz w:val="20"/>
          <w:szCs w:val="20"/>
          <w:color w:val="auto"/>
        </w:rPr>
        <w:t>In addition to the significant expense categories included within net loss presented in the Company’s consolidated statements of operations and comprehensive loss, see below for disaggregated amounts that comprise total operating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8"/>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41"/>
              <w:spacing w:after="0" w:line="201"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r>
      <w:tr>
        <w:trPr>
          <w:trHeight w:val="245"/>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Personnel-related costs . . . . . . . . . . . . . . . . . . . . . . . . . . . . . . . . . . . . . . . . . . . .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27,497</w:t>
            </w:r>
          </w:p>
        </w:tc>
        <w:tc>
          <w:tcPr>
            <w:tcW w:w="1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27,615</w:t>
            </w:r>
          </w:p>
        </w:tc>
        <w:tc>
          <w:tcPr>
            <w:tcW w:w="60" w:type="dxa"/>
            <w:vAlign w:val="bottom"/>
          </w:tcPr>
          <w:p>
            <w:pPr>
              <w:spacing w:after="0"/>
              <w:rPr>
                <w:sz w:val="21"/>
                <w:szCs w:val="21"/>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Facilities and overhead costs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14,356</w:t>
            </w:r>
          </w:p>
        </w:tc>
        <w:tc>
          <w:tcPr>
            <w:tcW w:w="60" w:type="dxa"/>
            <w:vAlign w:val="bottom"/>
          </w:tcPr>
          <w:p>
            <w:pPr>
              <w:spacing w:after="0"/>
              <w:rPr>
                <w:sz w:val="22"/>
                <w:szCs w:val="22"/>
                <w:color w:val="auto"/>
              </w:rPr>
            </w:pPr>
          </w:p>
        </w:tc>
      </w:tr>
      <w:tr>
        <w:trPr>
          <w:trHeight w:val="400"/>
        </w:trPr>
        <w:tc>
          <w:tcPr>
            <w:tcW w:w="6440" w:type="dxa"/>
            <w:vAlign w:val="bottom"/>
          </w:tcPr>
          <w:p>
            <w:pPr>
              <w:jc w:val="right"/>
              <w:ind w:right="5200"/>
              <w:spacing w:after="0"/>
              <w:rPr>
                <w:sz w:val="20"/>
                <w:szCs w:val="20"/>
                <w:color w:val="auto"/>
              </w:rPr>
            </w:pPr>
            <w:r>
              <w:rPr>
                <w:rFonts w:ascii="Times New Roman" w:cs="Times New Roman" w:eastAsia="Times New Roman" w:hAnsi="Times New Roman"/>
                <w:sz w:val="20"/>
                <w:szCs w:val="20"/>
                <w:color w:val="auto"/>
                <w:w w:val="98"/>
              </w:rPr>
              <w:t>Program costs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Briquilimab platform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5,637</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CMO . . . .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12,912</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9,500</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CSU . . . . .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12,047</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10,689</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Asthma . .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4,971</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1,975</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CIndU . . .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3,294</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2,234</w:t>
            </w:r>
          </w:p>
        </w:tc>
        <w:tc>
          <w:tcPr>
            <w:tcW w:w="60" w:type="dxa"/>
            <w:vAlign w:val="bottom"/>
          </w:tcPr>
          <w:p>
            <w:pPr>
              <w:spacing w:after="0"/>
              <w:rPr>
                <w:sz w:val="22"/>
                <w:szCs w:val="22"/>
                <w:color w:val="auto"/>
              </w:rPr>
            </w:pPr>
          </w:p>
        </w:tc>
      </w:tr>
      <w:tr>
        <w:trPr>
          <w:trHeight w:val="26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SCID . . . . . . . . . . . . . . . . . . . . . . . . . . . . . . . . . . . . . . . . . . . . . . . . . . . . . . . .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2,409</w:t>
            </w:r>
          </w:p>
        </w:tc>
        <w:tc>
          <w:tcPr>
            <w:tcW w:w="60" w:type="dxa"/>
            <w:vAlign w:val="bottom"/>
          </w:tcPr>
          <w:p>
            <w:pPr>
              <w:spacing w:after="0"/>
              <w:rPr>
                <w:sz w:val="22"/>
                <w:szCs w:val="22"/>
                <w:color w:val="auto"/>
              </w:rPr>
            </w:pP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MDS/AML . . . . . . . . . . . . . . . . . . . . . . . . . . . . . . . . . . . . . . . . . . . . . . . . . . . .</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1,824</w:t>
            </w:r>
          </w:p>
        </w:tc>
        <w:tc>
          <w:tcPr>
            <w:tcW w:w="60" w:type="dxa"/>
            <w:vAlign w:val="bottom"/>
          </w:tcPr>
          <w:p>
            <w:pPr>
              <w:spacing w:after="0"/>
              <w:rPr>
                <w:sz w:val="22"/>
                <w:szCs w:val="22"/>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program costs . . . . . . . . . . . . . . . . . . . . . . . . . . . . . . . . . . . . . . . . . . .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41,635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34,268</w:t>
            </w:r>
          </w:p>
        </w:tc>
        <w:tc>
          <w:tcPr>
            <w:tcW w:w="60" w:type="dxa"/>
            <w:vAlign w:val="bottom"/>
          </w:tcPr>
          <w:p>
            <w:pPr>
              <w:spacing w:after="0"/>
              <w:rPr>
                <w:sz w:val="20"/>
                <w:szCs w:val="20"/>
                <w:color w:val="auto"/>
              </w:rPr>
            </w:pP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operating expense . . . . . . . . . . . . . . . . . . . . . . . . . . . . . . . . . . . . . . .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83,883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76,239</w:t>
            </w:r>
          </w:p>
        </w:tc>
        <w:tc>
          <w:tcPr>
            <w:tcW w:w="60" w:type="dxa"/>
            <w:vAlign w:val="bottom"/>
          </w:tcPr>
          <w:p>
            <w:pPr>
              <w:spacing w:after="0"/>
              <w:rPr>
                <w:sz w:val="20"/>
                <w:szCs w:val="20"/>
                <w:color w:val="auto"/>
              </w:rPr>
            </w:pPr>
          </w:p>
        </w:tc>
      </w:tr>
      <w:tr>
        <w:trPr>
          <w:trHeight w:val="239"/>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Other income, net . . . . . . . . . . . . . . . . . . . . . . . . . . . . . . . . . . . . . . . . . . . . . . . .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8,082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60" w:type="dxa"/>
            <w:vAlign w:val="bottom"/>
          </w:tcPr>
          <w:p>
            <w:pPr>
              <w:spacing w:after="0"/>
              <w:rPr>
                <w:sz w:val="20"/>
                <w:szCs w:val="20"/>
                <w:color w:val="auto"/>
              </w:rPr>
            </w:pPr>
          </w:p>
        </w:tc>
      </w:tr>
      <w:tr>
        <w:trPr>
          <w:trHeight w:val="24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 . . . . . . . . . . . .Netloss.................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(75,801)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(71,269)</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All long-lived assets are located in the United States.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16. RESTRUCTURING</w:t>
      </w:r>
    </w:p>
    <w:p>
      <w:pPr>
        <w:spacing w:after="0" w:line="177" w:lineRule="exact"/>
        <w:rPr>
          <w:sz w:val="20"/>
          <w:szCs w:val="20"/>
          <w:color w:val="auto"/>
        </w:rPr>
      </w:pPr>
    </w:p>
    <w:p>
      <w:pPr>
        <w:ind w:right="120" w:firstLine="480"/>
        <w:spacing w:after="0" w:line="249" w:lineRule="auto"/>
        <w:rPr>
          <w:sz w:val="20"/>
          <w:szCs w:val="20"/>
          <w:color w:val="auto"/>
        </w:rPr>
      </w:pPr>
      <w:r>
        <w:rPr>
          <w:rFonts w:ascii="Times New Roman" w:cs="Times New Roman" w:eastAsia="Times New Roman" w:hAnsi="Times New Roman"/>
          <w:sz w:val="20"/>
          <w:szCs w:val="20"/>
          <w:color w:val="auto"/>
        </w:rPr>
        <w:t>In July 2025, the Company implemented and substantially completed a corporate reorganization to extend its cash runway, including a workforce reduction of approximately 50% of its workforce, representing 22 employees. In connection with this corporate reorganization, the Company refined its operating plan to focus on its briquilimab clinical development programs in chronic urticaria and halted enrollment in its Phase 1b asthma study and discontinued its other clinical and preclinical programs. As a result, management performed a long-lived assets impairment assessment and concluded that no impairment charges were necessary at the time. The total cost related to the workforce reduction was approximately $2.3 million, primarily related to severance payments.</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360"/>
          </w:cols>
          <w:pgMar w:left="1440" w:top="941" w:right="1440" w:bottom="353"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JASPER THERAPEUTICS, INC.</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NOTE 16. RESTRUCTURING </w:t>
      </w:r>
      <w:r>
        <w:rPr>
          <w:rFonts w:ascii="Times New Roman" w:cs="Times New Roman" w:eastAsia="Times New Roman" w:hAnsi="Times New Roman"/>
          <w:sz w:val="20"/>
          <w:szCs w:val="20"/>
          <w:color w:val="auto"/>
        </w:rPr>
        <w:t>(cont.)</w:t>
      </w:r>
    </w:p>
    <w:p>
      <w:pPr>
        <w:spacing w:after="0" w:line="177" w:lineRule="exact"/>
        <w:rPr>
          <w:sz w:val="20"/>
          <w:szCs w:val="20"/>
          <w:color w:val="auto"/>
        </w:rPr>
      </w:pPr>
    </w:p>
    <w:p>
      <w:pPr>
        <w:jc w:val="both"/>
        <w:ind w:right="60" w:firstLine="480"/>
        <w:spacing w:after="0" w:line="248" w:lineRule="auto"/>
        <w:rPr>
          <w:sz w:val="20"/>
          <w:szCs w:val="20"/>
          <w:color w:val="auto"/>
        </w:rPr>
      </w:pPr>
      <w:r>
        <w:rPr>
          <w:rFonts w:ascii="Times New Roman" w:cs="Times New Roman" w:eastAsia="Times New Roman" w:hAnsi="Times New Roman"/>
          <w:sz w:val="20"/>
          <w:szCs w:val="20"/>
          <w:color w:val="auto"/>
        </w:rPr>
        <w:t>In December 2025, the Board approved a plan to cease operations of the Company’s vivarium and to terminate three research personnel associated with those operations. The Company determined that certain fixed assets and its right-of-use asset related to those operations were abandoned. Accordingly, the Company recognized an impairment loss of $1.1 million.</w:t>
      </w:r>
    </w:p>
    <w:p>
      <w:pPr>
        <w:spacing w:after="0" w:line="169" w:lineRule="exact"/>
        <w:rPr>
          <w:sz w:val="20"/>
          <w:szCs w:val="20"/>
          <w:color w:val="auto"/>
        </w:rPr>
      </w:pPr>
    </w:p>
    <w:p>
      <w:pPr>
        <w:ind w:firstLine="480"/>
        <w:spacing w:after="0" w:line="243" w:lineRule="auto"/>
        <w:rPr>
          <w:sz w:val="20"/>
          <w:szCs w:val="20"/>
          <w:color w:val="auto"/>
        </w:rPr>
      </w:pPr>
      <w:r>
        <w:rPr>
          <w:rFonts w:ascii="Times New Roman" w:cs="Times New Roman" w:eastAsia="Times New Roman" w:hAnsi="Times New Roman"/>
          <w:sz w:val="20"/>
          <w:szCs w:val="20"/>
          <w:color w:val="auto"/>
        </w:rPr>
        <w:t>The restructuring and impairment charges are included in the Company’s consolidated statements of operations and comprehensive loss for the year ended December 31, 2025,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Restructuring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Impairment</w:t>
            </w:r>
          </w:p>
        </w:tc>
      </w:tr>
      <w:tr>
        <w:trPr>
          <w:trHeight w:val="210"/>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3"/>
              <w:spacing w:after="0" w:line="201" w:lineRule="exact"/>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84"/>
              <w:spacing w:after="0" w:line="201" w:lineRule="exact"/>
              <w:rPr>
                <w:sz w:val="20"/>
                <w:szCs w:val="20"/>
                <w:color w:val="auto"/>
              </w:rPr>
            </w:pPr>
            <w:r>
              <w:rPr>
                <w:rFonts w:ascii="Times New Roman" w:cs="Times New Roman" w:eastAsia="Times New Roman" w:hAnsi="Times New Roman"/>
                <w:sz w:val="18"/>
                <w:szCs w:val="18"/>
                <w:b w:val="1"/>
                <w:bCs w:val="1"/>
                <w:color w:val="auto"/>
              </w:rPr>
              <w:t>loss</w:t>
            </w:r>
          </w:p>
        </w:tc>
      </w:tr>
      <w:tr>
        <w:trPr>
          <w:trHeight w:val="247"/>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Research and development . . . . . . . . . . . . . . . . . . . . . . . . . . . . . . . . . . . . . . . . . .</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w:t>
            </w:r>
          </w:p>
        </w:tc>
      </w:tr>
      <w:tr>
        <w:trPr>
          <w:trHeight w:val="261"/>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General and administrative . . . . . . . . . . . . . . . . . . . . . . . . . . . . . . . . . . . . . . . . . .</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w:t>
            </w:r>
          </w:p>
        </w:tc>
      </w:tr>
      <w:tr>
        <w:trPr>
          <w:trHeight w:val="240"/>
        </w:trPr>
        <w:tc>
          <w:tcPr>
            <w:tcW w:w="6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Total . . . . . . . . . . . . . . . . . . . . . . . . . . . . . . . . . . . . . . . . . . . . . . . . . . . . . . . . .</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1,112</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17. SUBSEQUENT EVENTS</w:t>
      </w:r>
    </w:p>
    <w:p>
      <w:pPr>
        <w:spacing w:after="0" w:line="177" w:lineRule="exact"/>
        <w:rPr>
          <w:sz w:val="20"/>
          <w:szCs w:val="20"/>
          <w:color w:val="auto"/>
        </w:rPr>
      </w:pPr>
    </w:p>
    <w:p>
      <w:pPr>
        <w:ind w:right="260" w:firstLine="480"/>
        <w:spacing w:after="0" w:line="249" w:lineRule="auto"/>
        <w:rPr>
          <w:sz w:val="20"/>
          <w:szCs w:val="20"/>
          <w:color w:val="auto"/>
        </w:rPr>
      </w:pPr>
      <w:r>
        <w:rPr>
          <w:rFonts w:ascii="Times New Roman" w:cs="Times New Roman" w:eastAsia="Times New Roman" w:hAnsi="Times New Roman"/>
          <w:sz w:val="20"/>
          <w:szCs w:val="20"/>
          <w:color w:val="auto"/>
        </w:rPr>
        <w:t>In January 2026, Ron Martell ceased serving as the Company’s Chief Executive Officer and President. Pursuant to the Amended and Restated Employment Agreement, dated as of June 10, 2024, between the Company and Mr. Martell (the “Martell Employment Agreement”), Mr. Martell’s departure from the Company constitutes a termination without Cause (as defined in the Martell Employment Agreement), and, in accordance therewith, Mr. Martell will be entitled to receive an amount equal to 18 months of his base salary, payable in accordance with the Company’s payroll cycle, and the Company shall pay COBRA premiums for Mr. Martell and his covered dependents for a period of up to 18 months.</w:t>
      </w:r>
    </w:p>
    <w:p>
      <w:pPr>
        <w:spacing w:after="0" w:line="170" w:lineRule="exact"/>
        <w:rPr>
          <w:sz w:val="20"/>
          <w:szCs w:val="20"/>
          <w:color w:val="auto"/>
        </w:rPr>
      </w:pPr>
    </w:p>
    <w:p>
      <w:pPr>
        <w:jc w:val="both"/>
        <w:ind w:right="40" w:firstLine="480"/>
        <w:spacing w:after="0" w:line="246" w:lineRule="auto"/>
        <w:rPr>
          <w:sz w:val="20"/>
          <w:szCs w:val="20"/>
          <w:color w:val="auto"/>
        </w:rPr>
      </w:pPr>
      <w:r>
        <w:rPr>
          <w:rFonts w:ascii="Times New Roman" w:cs="Times New Roman" w:eastAsia="Times New Roman" w:hAnsi="Times New Roman"/>
          <w:sz w:val="20"/>
          <w:szCs w:val="20"/>
          <w:color w:val="auto"/>
        </w:rPr>
        <w:t>Jeet Mahal, the Company’s Chief Operating Officer, was appointed as the Company’s Chief Executive Officer and President. In connection with this appointment, Mr. Mahal’s annualized salary was increased to $600,000 and he will be eligible to receive an annual performance bonus of up to 50% of his base salary.</w:t>
      </w:r>
    </w:p>
    <w:p>
      <w:pPr>
        <w:sectPr>
          <w:pgSz w:w="12240" w:h="15840" w:orient="portrait"/>
          <w:cols w:equalWidth="0" w:num="1">
            <w:col w:w="9360"/>
          </w:cols>
          <w:pgMar w:left="1440" w:top="941" w:right="1440" w:bottom="3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360"/>
          </w:cols>
          <w:pgMar w:left="1440" w:top="941" w:right="1440" w:bottom="353" w:gutter="0" w:footer="0" w:header="0"/>
          <w:type w:val="continuous"/>
        </w:sectPr>
      </w:pPr>
    </w:p>
    <w:bookmarkStart w:id="143" w:name="page144"/>
    <w:bookmarkEnd w:id="143"/>
    <w:p>
      <w:pPr>
        <w:ind w:left="960" w:right="500" w:hanging="959"/>
        <w:spacing w:after="0" w:line="244" w:lineRule="auto"/>
        <w:tabs>
          <w:tab w:leader="none" w:pos="940" w:val="left"/>
        </w:tabs>
        <w:rPr>
          <w:sz w:val="20"/>
          <w:szCs w:val="20"/>
          <w:color w:val="auto"/>
        </w:rPr>
      </w:pPr>
      <w:r>
        <w:rPr>
          <w:rFonts w:ascii="Times New Roman" w:cs="Times New Roman" w:eastAsia="Times New Roman" w:hAnsi="Times New Roman"/>
          <w:sz w:val="20"/>
          <w:szCs w:val="20"/>
          <w:b w:val="1"/>
          <w:bCs w:val="1"/>
          <w:color w:val="auto"/>
        </w:rPr>
        <w:t>ITEM 9.</w:t>
        <w:tab/>
        <w:t>CHANGES IN AND DISAGREEMENTS WITH ACCOUNTANTS ON ACCOUNTING AND FINANCIAL DISCLOSURE</w:t>
      </w:r>
    </w:p>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Evaluation of Disclosure Controls and Procedures</w:t>
      </w:r>
    </w:p>
    <w:p>
      <w:pPr>
        <w:spacing w:after="0" w:line="177" w:lineRule="exact"/>
        <w:rPr>
          <w:sz w:val="20"/>
          <w:szCs w:val="20"/>
          <w:color w:val="auto"/>
        </w:rPr>
      </w:pPr>
    </w:p>
    <w:p>
      <w:pPr>
        <w:ind w:right="20" w:firstLine="480"/>
        <w:spacing w:after="0" w:line="264" w:lineRule="auto"/>
        <w:rPr>
          <w:sz w:val="20"/>
          <w:szCs w:val="20"/>
          <w:color w:val="auto"/>
        </w:rPr>
      </w:pPr>
      <w:r>
        <w:rPr>
          <w:rFonts w:ascii="Times New Roman" w:cs="Times New Roman" w:eastAsia="Times New Roman" w:hAnsi="Times New Roman"/>
          <w:sz w:val="19"/>
          <w:szCs w:val="19"/>
          <w:color w:val="auto"/>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158" w:lineRule="exact"/>
        <w:rPr>
          <w:sz w:val="20"/>
          <w:szCs w:val="20"/>
          <w:color w:val="auto"/>
        </w:rPr>
      </w:pPr>
    </w:p>
    <w:p>
      <w:pPr>
        <w:ind w:right="160" w:firstLine="480"/>
        <w:spacing w:after="0" w:line="249" w:lineRule="auto"/>
        <w:rPr>
          <w:sz w:val="20"/>
          <w:szCs w:val="20"/>
          <w:color w:val="auto"/>
        </w:rPr>
      </w:pPr>
      <w:r>
        <w:rPr>
          <w:rFonts w:ascii="Times New Roman" w:cs="Times New Roman" w:eastAsia="Times New Roman" w:hAnsi="Times New Roman"/>
          <w:sz w:val="20"/>
          <w:szCs w:val="20"/>
          <w:color w:val="auto"/>
        </w:rPr>
        <w:t>In designing and evaluating the disclosure controls and procedures,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as of the end of the period covered by this Annual Report on Form 10-K at the reasonable assurance level.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77" w:lineRule="exact"/>
        <w:rPr>
          <w:sz w:val="20"/>
          <w:szCs w:val="20"/>
          <w:color w:val="auto"/>
        </w:rPr>
      </w:pPr>
    </w:p>
    <w:p>
      <w:pPr>
        <w:ind w:right="160" w:firstLine="480"/>
        <w:spacing w:after="0" w:line="248" w:lineRule="auto"/>
        <w:rPr>
          <w:sz w:val="20"/>
          <w:szCs w:val="20"/>
          <w:color w:val="auto"/>
        </w:rPr>
      </w:pPr>
      <w:r>
        <w:rPr>
          <w:rFonts w:ascii="Times New Roman" w:cs="Times New Roman" w:eastAsia="Times New Roman" w:hAnsi="Times New Roman"/>
          <w:sz w:val="20"/>
          <w:szCs w:val="20"/>
          <w:color w:val="auto"/>
        </w:rPr>
        <w:t xml:space="preserve">Our management is responsible for establishing and maintaining adequate internal control over financial reporting, as such term is defined in Exchange Act Rules 13a-15(f) and 15d-15(f). Our management conducted an evaluation of the effectiveness of our internal control over financial reporting as of December 31, 2025 based on the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w:t>
      </w:r>
    </w:p>
    <w:p>
      <w:pPr>
        <w:spacing w:after="0" w:line="172" w:lineRule="exact"/>
        <w:rPr>
          <w:sz w:val="20"/>
          <w:szCs w:val="20"/>
          <w:color w:val="auto"/>
        </w:rPr>
      </w:pPr>
    </w:p>
    <w:p>
      <w:pPr>
        <w:ind w:right="60" w:firstLine="480"/>
        <w:spacing w:after="0" w:line="243" w:lineRule="auto"/>
        <w:rPr>
          <w:sz w:val="20"/>
          <w:szCs w:val="20"/>
          <w:color w:val="auto"/>
        </w:rPr>
      </w:pPr>
      <w:r>
        <w:rPr>
          <w:rFonts w:ascii="Times New Roman" w:cs="Times New Roman" w:eastAsia="Times New Roman" w:hAnsi="Times New Roman"/>
          <w:sz w:val="20"/>
          <w:szCs w:val="20"/>
          <w:color w:val="auto"/>
        </w:rPr>
        <w:t>Based on the results of its evaluation, management concluded that our internal control over financial reporting was effective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Attestation Report of the Registered Public Accounting Firm</w:t>
      </w:r>
    </w:p>
    <w:p>
      <w:pPr>
        <w:spacing w:after="0" w:line="177" w:lineRule="exact"/>
        <w:rPr>
          <w:sz w:val="20"/>
          <w:szCs w:val="20"/>
          <w:color w:val="auto"/>
        </w:rPr>
      </w:pPr>
    </w:p>
    <w:p>
      <w:pPr>
        <w:ind w:right="20" w:firstLine="480"/>
        <w:spacing w:after="0" w:line="246"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registered public accounting firm regarding internal control over financial reporting because as a smaller reporting company we are not subject to Section 404(b) of the Sarbanes-Oxley Act of 2002.</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Controls</w:t>
      </w:r>
    </w:p>
    <w:p>
      <w:pPr>
        <w:spacing w:after="0" w:line="177" w:lineRule="exact"/>
        <w:rPr>
          <w:sz w:val="20"/>
          <w:szCs w:val="20"/>
          <w:color w:val="auto"/>
        </w:rPr>
      </w:pPr>
    </w:p>
    <w:p>
      <w:pPr>
        <w:jc w:val="both"/>
        <w:ind w:right="60" w:firstLine="480"/>
        <w:spacing w:after="0" w:line="246"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77" w:lineRule="exact"/>
        <w:rPr>
          <w:sz w:val="20"/>
          <w:szCs w:val="20"/>
          <w:color w:val="auto"/>
        </w:rPr>
      </w:pPr>
    </w:p>
    <w:p>
      <w:pPr>
        <w:ind w:right="40" w:firstLine="480"/>
        <w:spacing w:after="0" w:line="248" w:lineRule="auto"/>
        <w:rPr>
          <w:sz w:val="20"/>
          <w:szCs w:val="20"/>
          <w:color w:val="auto"/>
        </w:rPr>
      </w:pPr>
      <w:r>
        <w:rPr>
          <w:rFonts w:ascii="Times New Roman" w:cs="Times New Roman" w:eastAsia="Times New Roman" w:hAnsi="Times New Roman"/>
          <w:sz w:val="20"/>
          <w:szCs w:val="20"/>
          <w:color w:val="auto"/>
        </w:rPr>
        <w:t>During the fiscal quarter ended December 31, 2025, none of our directors or officers (as defined in Section 16 of the Securities Exchange Act of 1934, as amended) adopted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360"/>
          </w:cols>
          <w:pgMar w:left="1440" w:top="947" w:right="1440" w:bottom="348"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360"/>
          </w:cols>
          <w:pgMar w:left="1440" w:top="947" w:right="1440" w:bottom="348"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7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will be contained in our definitive proxy statement on Schedule 14A to be filed with the Securities and Exchange Commission in connection with our 2026 annual meeting of stockholders (the “2026 Proxy Statement”), which we expect to file not later than 120 days after the end of the fiscal year covered by this Annual Report on Form 10-K, and is incorporated in this report by reference. To the extent that we do not file the 2026 Proxy Statement by such date, we will file an amendment to this Annual Report on Form 10-K that includes the information required by this Item 10.</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77" w:lineRule="exact"/>
        <w:rPr>
          <w:sz w:val="20"/>
          <w:szCs w:val="20"/>
          <w:color w:val="auto"/>
        </w:rPr>
      </w:pPr>
    </w:p>
    <w:p>
      <w:pPr>
        <w:ind w:right="60" w:firstLine="480"/>
        <w:spacing w:after="0" w:line="24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the information contained in the 2026 Proxy Statement, which we expect to file not later than 120 days after the end of the fiscal year covered by this Annual Report on Form 10-K. To the extent that we do not file the 2026 Proxy Statement by such date, we will file an amendment to this Annual Report on Form 10-K that includes the information required by this Item 11.</w:t>
      </w:r>
    </w:p>
    <w:p>
      <w:pPr>
        <w:spacing w:after="0" w:line="248" w:lineRule="exact"/>
        <w:rPr>
          <w:sz w:val="20"/>
          <w:szCs w:val="20"/>
          <w:color w:val="auto"/>
        </w:rPr>
      </w:pPr>
    </w:p>
    <w:p>
      <w:pPr>
        <w:ind w:left="960" w:right="120" w:hanging="959"/>
        <w:spacing w:after="0" w:line="244"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74" w:lineRule="exact"/>
        <w:rPr>
          <w:sz w:val="20"/>
          <w:szCs w:val="20"/>
          <w:color w:val="auto"/>
        </w:rPr>
      </w:pPr>
    </w:p>
    <w:p>
      <w:pPr>
        <w:ind w:right="60" w:firstLine="480"/>
        <w:spacing w:after="0" w:line="24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the information contained in the 2026 Proxy Statement, which we expect to file not later than 120 days after the end of the fiscal year covered by this Annual Report on Form 10-K. To the extent that we do not file the 2026 Proxy Statement by such date, we will file an amendment to this Annual Report on Form 10-K that includes the information required by this Item 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PARTY TRANSACTIONS</w:t>
      </w:r>
    </w:p>
    <w:p>
      <w:pPr>
        <w:spacing w:after="0" w:line="177" w:lineRule="exact"/>
        <w:rPr>
          <w:sz w:val="20"/>
          <w:szCs w:val="20"/>
          <w:color w:val="auto"/>
        </w:rPr>
      </w:pPr>
    </w:p>
    <w:p>
      <w:pPr>
        <w:ind w:right="60" w:firstLine="480"/>
        <w:spacing w:after="0" w:line="24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the information contained in the 2026 Proxy Statement, which we expect to file not later than 120 days after the end of the fiscal year covered by this Annual Report on Form 10-K. To the extent that we do not file the 2026 Proxy Statement by such date, we will file an amendment to this Annual Report on Form 10-K that includes the information required by this Item 13.</w:t>
      </w: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360"/>
          </w:cols>
          <w:pgMar w:left="1440" w:top="941" w:right="1440" w:bottom="348"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77" w:lineRule="exact"/>
        <w:rPr>
          <w:sz w:val="20"/>
          <w:szCs w:val="20"/>
          <w:color w:val="auto"/>
        </w:rPr>
      </w:pPr>
    </w:p>
    <w:p>
      <w:pPr>
        <w:ind w:right="60" w:firstLine="480"/>
        <w:spacing w:after="0" w:line="248"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from the information contained in the 2026 Proxy Statement, which we expect to file not later than 120 days after the end of the fiscal year covered by this Annual Report on Form 10-K. To the extent that we do not file the 2026 Proxy Statement by such date, we will file an amendment to this Annual Report on Form 10-K that includes the information required by this Item 14.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(a)(1) Financial Statements</w:t>
      </w:r>
    </w:p>
    <w:p>
      <w:pPr>
        <w:spacing w:after="0" w:line="177" w:lineRule="exact"/>
        <w:rPr>
          <w:sz w:val="20"/>
          <w:szCs w:val="20"/>
          <w:color w:val="auto"/>
        </w:rPr>
      </w:pPr>
    </w:p>
    <w:p>
      <w:pPr>
        <w:ind w:right="240" w:firstLine="480"/>
        <w:spacing w:after="0" w:line="243" w:lineRule="auto"/>
        <w:rPr>
          <w:sz w:val="20"/>
          <w:szCs w:val="20"/>
          <w:color w:val="auto"/>
        </w:rPr>
      </w:pPr>
      <w:r>
        <w:rPr>
          <w:rFonts w:ascii="Times New Roman" w:cs="Times New Roman" w:eastAsia="Times New Roman" w:hAnsi="Times New Roman"/>
          <w:sz w:val="20"/>
          <w:szCs w:val="20"/>
          <w:color w:val="auto"/>
        </w:rPr>
        <w:t>Our Financial Statements are listed in the “Index to the Financial Statements” of Jasper Therapeutics, Inc. in Part II, Item 8 of this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(a)(2) Financial Statement Schedules</w:t>
      </w:r>
    </w:p>
    <w:p>
      <w:pPr>
        <w:spacing w:after="0" w:line="177" w:lineRule="exact"/>
        <w:rPr>
          <w:sz w:val="20"/>
          <w:szCs w:val="20"/>
          <w:color w:val="auto"/>
        </w:rPr>
      </w:pPr>
    </w:p>
    <w:p>
      <w:pPr>
        <w:ind w:right="140" w:firstLine="480"/>
        <w:spacing w:after="0" w:line="246"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they are not required, not applicable, or the required information is included in the consolidated financial statements or notes thereto included in Part II, Item 8 of this Annual Report on Form 10-K.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(a)(3) Exhibits</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exhibits are filed herewith or incorporated herein by reference: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620" w:type="dxa"/>
            <w:vAlign w:val="bottom"/>
            <w:tcBorders>
              <w:bottom w:val="single" w:sz="8" w:color="auto"/>
            </w:tcBorders>
          </w:tcPr>
          <w:p>
            <w:pPr>
              <w:spacing w:after="0"/>
              <w:rPr>
                <w:sz w:val="18"/>
                <w:szCs w:val="18"/>
                <w:color w:val="auto"/>
              </w:rPr>
            </w:pPr>
          </w:p>
        </w:tc>
      </w:tr>
      <w:tr>
        <w:trPr>
          <w:trHeight w:val="197"/>
        </w:trPr>
        <w:tc>
          <w:tcPr>
            <w:tcW w:w="9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80" w:type="dxa"/>
            <w:vAlign w:val="bottom"/>
          </w:tcPr>
          <w:p>
            <w:pPr>
              <w:spacing w:after="0"/>
              <w:rPr>
                <w:sz w:val="17"/>
                <w:szCs w:val="17"/>
                <w:color w:val="auto"/>
              </w:rPr>
            </w:pPr>
          </w:p>
        </w:tc>
        <w:tc>
          <w:tcPr>
            <w:tcW w:w="110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620" w:type="dxa"/>
            <w:vAlign w:val="bottom"/>
          </w:tcPr>
          <w:p>
            <w:pPr>
              <w:spacing w:after="0"/>
              <w:rPr>
                <w:sz w:val="17"/>
                <w:szCs w:val="17"/>
                <w:color w:val="auto"/>
              </w:rPr>
            </w:pPr>
          </w:p>
        </w:tc>
      </w:tr>
      <w:tr>
        <w:trPr>
          <w:trHeight w:val="210"/>
        </w:trPr>
        <w:tc>
          <w:tcPr>
            <w:tcW w:w="9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4280" w:type="dxa"/>
            <w:vAlign w:val="bottom"/>
            <w:tcBorders>
              <w:bottom w:val="single" w:sz="8" w:color="auto"/>
            </w:tcBorders>
          </w:tcPr>
          <w:p>
            <w:pPr>
              <w:ind w:left="17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8"/>
                <w:szCs w:val="18"/>
                <w:color w:val="auto"/>
              </w:rPr>
            </w:pPr>
          </w:p>
        </w:tc>
        <w:tc>
          <w:tcPr>
            <w:tcW w:w="520" w:type="dxa"/>
            <w:vAlign w:val="bottom"/>
            <w:tcBorders>
              <w:bottom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Form</w:t>
            </w: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18"/>
                <w:szCs w:val="18"/>
                <w:color w:val="auto"/>
              </w:rPr>
            </w:pPr>
          </w:p>
        </w:tc>
        <w:tc>
          <w:tcPr>
            <w:tcW w:w="62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r>
      <w:tr>
        <w:trPr>
          <w:trHeight w:val="24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2.1+</w:t>
            </w:r>
          </w:p>
        </w:tc>
        <w:tc>
          <w:tcPr>
            <w:tcW w:w="18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Business Combination Agreement, dated as of</w:t>
            </w:r>
          </w:p>
        </w:tc>
        <w:tc>
          <w:tcPr>
            <w:tcW w:w="180" w:type="dxa"/>
            <w:vAlign w:val="bottom"/>
          </w:tcPr>
          <w:p>
            <w:pPr>
              <w:spacing w:after="0"/>
              <w:rPr>
                <w:sz w:val="21"/>
                <w:szCs w:val="21"/>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5/6/2021</w:t>
            </w:r>
          </w:p>
        </w:tc>
        <w:tc>
          <w:tcPr>
            <w:tcW w:w="1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2.1</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May 5, 2021, by and among Amplitude Healthcare</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Acquisition Corporation, Ample Merger Sub, Inc.,</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and Jasper Therapeutics, Inc.</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Second Amended and Restated Certificate of</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9/29/2021</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Incorporation of the Registrant.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the Second Amended</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6/8/2023</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and Restated Certificate of Incorporation, dated</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June 8, 2023.</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Second Amendment to the Second</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1/3/2024</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Amended and Restated Certificate of Incorporation</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of Jasper Therapeutics, Inc., filed with the Secretary</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of State of the State of Delaware on January 3, 2024.</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Third Amended and Restated Bylaws of the</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2/17/2023</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3.1</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Registrant.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Form of Warrant Agreement, dated November 19,</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11/25/2019</w:t>
            </w: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2019, by and between the Registrant and Continental</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Stock Transfer &amp; Trust Company, as warrant agent.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Specimen Warrant Certificate.</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S-1/A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333-234324</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11/6/2019</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Form of Pre-Funded Warrant to Purchase Common</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9/19/2025</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4.1</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Stock.</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Form of Common Warrant.</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9/19/2025</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4.2</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 of Jasper Therapeutics, Inc.</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Jasper Therapeutics, Inc. 2021 Equity Incentive Plan</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9/29/2021</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Registration Rights</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9/29/2021</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Agreement, dated September 24, 2021.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w w:val="99"/>
              </w:rPr>
              <w:t>Jasper Therapeutics, Inc. 2024 Equity Incentive Plan.</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3"/>
              </w:rPr>
              <w:t>S-8</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333-280039</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6/7/2024</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4.3</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Form of Stock Option Award Agreement under the</w:t>
            </w:r>
          </w:p>
        </w:tc>
        <w:tc>
          <w:tcPr>
            <w:tcW w:w="180" w:type="dxa"/>
            <w:vAlign w:val="bottom"/>
          </w:tcPr>
          <w:p>
            <w:pPr>
              <w:spacing w:after="0"/>
              <w:rPr>
                <w:sz w:val="22"/>
                <w:szCs w:val="22"/>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3"/>
              </w:rPr>
              <w:t>S-8</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333-280039</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6/7/2024</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4.4</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w w:val="99"/>
              </w:rPr>
              <w:t>Jasper Therapeutics, Inc. 2024 Equity Incentive Plan.</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9360"/>
          </w:cols>
          <w:pgMar w:left="1440" w:top="941" w:right="1440" w:bottom="348" w:gutter="0" w:footer="0" w:header="0"/>
          <w:type w:val="continuous"/>
        </w:sectPr>
      </w:pPr>
    </w:p>
    <w:bookmarkStart w:id="146" w:name="page147"/>
    <w:bookmarkEnd w:id="146"/>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9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4280" w:type="dxa"/>
            <w:vAlign w:val="bottom"/>
            <w:tcBorders>
              <w:bottom w:val="single" w:sz="8" w:color="auto"/>
            </w:tcBorders>
          </w:tcPr>
          <w:p>
            <w:pPr>
              <w:ind w:left="17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40" w:type="dxa"/>
            <w:vAlign w:val="bottom"/>
          </w:tcPr>
          <w:p>
            <w:pPr>
              <w:spacing w:after="0"/>
              <w:rPr>
                <w:sz w:val="18"/>
                <w:szCs w:val="18"/>
                <w:color w:val="auto"/>
              </w:rPr>
            </w:pPr>
          </w:p>
        </w:tc>
      </w:tr>
      <w:tr>
        <w:trPr>
          <w:trHeight w:val="24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8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Restricted Stock Unit Award Agreement</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under the Jasper Therapeutics, Inc. 2024 Equity</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Incentive Plan.</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Form of Restricted Stock Award Agreement under the</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Jasper Therapeutics, Inc. 2024 Equity Incentive Plan.</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Jasper Therapeutics, Inc. 2024 Employee Stock</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Purchase Plan.</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Jasper Therapeutics, Inc. 2022 Amended and Restated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Inducement Equity Incentive Plan.</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Jasper Therapeutics, Inc. 2022 Inducement Equity</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Incentive Plan Form of Stock Option Agreement and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Terms and Conditions of Stock Option Grant.</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Jasper Therapeutics, Inc. 2022 Inducement Equity</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Incentive Plan Form of Restricted Stock Unit</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Agreement and Terms and Conditions of Restricted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Stock Unit Grant.</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Jasper Therapeutics, Inc. 2019 Equity Incentive Plan.</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Employment Agreement,</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dated as of June 10, 2024, by and between Jasper</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Therapeutics, Inc. and Ronald Martell.</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Employment Agreement,</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dated as of June 10, 2024, by and between Jasper</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Therapeutics, Inc. and Herb Cross.</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Amended and Restated Employment Agreement,</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dated as of June 10, 2024, by and between Jasper</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Therapeutics, Inc. and Jeet Mahal.</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Consulting Agreement, dated December 16, 2019,</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by and between Jasper Therapeutics, Inc. and Judith</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Shizuru, M.D., Ph.D.</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Jasper Therapeutics, Inc. Non-Employee Director</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Compensation Policy.</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Form of Indemnification Agreement by and between</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Jasper Therapeutics, Inc. and each of its directors and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executive officers.</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Exclusive License Agreement, dated November 21,</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2019, by and between Jasper Therapeutics, Inc. and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Amgen Inc.</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180" w:type="dxa"/>
            <w:vAlign w:val="bottom"/>
          </w:tcPr>
          <w:p>
            <w:pPr>
              <w:spacing w:after="0"/>
              <w:rPr>
                <w:sz w:val="22"/>
                <w:szCs w:val="22"/>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Assignment Agreement, dated as of November 21,</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2019, by and between Jasper Therapeutics, Inc. and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Amgen Inc.</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45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Investigator Sponsored Research Agreement, Amgen</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Protocol No. 20119244, effective as of June 18, 2013,</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between Jasper Therapeutics, Inc., as successor in</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interest to Amgen Inc., and The Board of Trustees of</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the Leland Stanford Junior University for Stanford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University.</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45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Amendment #1 to the Investigator Sponsored</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Research Agreement, Amgen Protocol No.</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20119244, dated February 27, 2017, between Jasper</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Therapeutics, Inc., as successor in interest to Amgen</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Inc., and The Board of Trustees of the Leland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2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Stanford Junior University for Stanford University.</w:t>
            </w:r>
          </w:p>
        </w:tc>
      </w:tr>
    </w:tbl>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23114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18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520" w:type="dxa"/>
            <w:vAlign w:val="bottom"/>
            <w:tcBorders>
              <w:bottom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Form</w:t>
            </w: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18"/>
                <w:szCs w:val="18"/>
                <w:color w:val="auto"/>
              </w:rPr>
            </w:pPr>
          </w:p>
        </w:tc>
        <w:tc>
          <w:tcPr>
            <w:tcW w:w="62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r>
      <w:tr>
        <w:trPr>
          <w:trHeight w:val="247"/>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3"/>
              </w:rPr>
              <w:t>S-8</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333-280039</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6/7/2024</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5"/>
              </w:rPr>
              <w:t>4.5</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3"/>
              </w:rPr>
              <w:t>S-8</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333-280039</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6/7/2024</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5"/>
              </w:rPr>
              <w:t>4.6</w:t>
            </w:r>
          </w:p>
        </w:tc>
      </w:tr>
      <w:tr>
        <w:trPr>
          <w:trHeight w:val="48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3"/>
              </w:rPr>
              <w:t>S-8</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333-280039</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6/7/2024</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5"/>
              </w:rPr>
              <w:t>4.7</w:t>
            </w:r>
          </w:p>
        </w:tc>
      </w:tr>
      <w:tr>
        <w:trPr>
          <w:trHeight w:val="48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6/8/2023</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10.1</w:t>
            </w:r>
          </w:p>
        </w:tc>
      </w:tr>
      <w:tr>
        <w:trPr>
          <w:trHeight w:val="48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3"/>
              </w:rPr>
              <w:t>S-8</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333-263702</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3/18/2022</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10.6</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3"/>
              </w:rPr>
              <w:t>S-8</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333-263702</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3/18/2022</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10.7</w:t>
            </w:r>
          </w:p>
        </w:tc>
      </w:tr>
      <w:tr>
        <w:trPr>
          <w:trHeight w:val="92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7/19/2021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10.12</w:t>
            </w:r>
          </w:p>
        </w:tc>
      </w:tr>
      <w:tr>
        <w:trPr>
          <w:trHeight w:val="26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6/12/2024</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10.3</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6/12/2024</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10.4</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6/12/2024</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10.5</w:t>
            </w:r>
          </w:p>
        </w:tc>
      </w:tr>
      <w:tr>
        <w:trPr>
          <w:trHeight w:val="700"/>
        </w:trPr>
        <w:tc>
          <w:tcPr>
            <w:tcW w:w="17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S-4/A   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10.29</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2/28/2025</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10.17</w:t>
            </w:r>
          </w:p>
        </w:tc>
      </w:tr>
      <w:tr>
        <w:trPr>
          <w:trHeight w:val="48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7/19/2021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10.28</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10.13</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10.14</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20"/>
        <w:spacing w:after="0"/>
        <w:tabs>
          <w:tab w:leader="none" w:pos="220" w:val="left"/>
          <w:tab w:leader="none" w:pos="300" w:val="left"/>
          <w:tab w:leader="none" w:pos="360" w:val="left"/>
        </w:tabs>
        <w:rPr>
          <w:sz w:val="20"/>
          <w:szCs w:val="20"/>
          <w:color w:val="auto"/>
        </w:rPr>
      </w:pPr>
      <w:r>
        <w:rPr>
          <w:rFonts w:ascii="Times New Roman" w:cs="Times New Roman" w:eastAsia="Times New Roman" w:hAnsi="Times New Roman"/>
          <w:sz w:val="20"/>
          <w:szCs w:val="20"/>
          <w:color w:val="auto"/>
        </w:rPr>
        <w:t>S-4/A</w:t>
        <w:tab/>
        <w:t>333-256875</w:t>
      </w:r>
      <w:r>
        <w:rPr>
          <w:sz w:val="20"/>
          <w:szCs w:val="20"/>
          <w:color w:val="auto"/>
        </w:rPr>
        <w:tab/>
      </w:r>
      <w:r>
        <w:rPr>
          <w:rFonts w:ascii="Times New Roman" w:cs="Times New Roman" w:eastAsia="Times New Roman" w:hAnsi="Times New Roman"/>
          <w:sz w:val="20"/>
          <w:szCs w:val="20"/>
          <w:color w:val="auto"/>
        </w:rPr>
        <w:t>8/9/2021</w:t>
      </w:r>
      <w:r>
        <w:rPr>
          <w:sz w:val="20"/>
          <w:szCs w:val="20"/>
          <w:color w:val="auto"/>
        </w:rPr>
        <w:tab/>
      </w:r>
      <w:r>
        <w:rPr>
          <w:rFonts w:ascii="Times New Roman" w:cs="Times New Roman" w:eastAsia="Times New Roman" w:hAnsi="Times New Roman"/>
          <w:sz w:val="19"/>
          <w:szCs w:val="19"/>
          <w:color w:val="auto"/>
        </w:rPr>
        <w:t>10.16</w:t>
      </w:r>
    </w:p>
    <w:p>
      <w:pPr>
        <w:spacing w:after="0" w:line="1300" w:lineRule="exact"/>
        <w:rPr>
          <w:sz w:val="20"/>
          <w:szCs w:val="20"/>
          <w:color w:val="auto"/>
        </w:rPr>
      </w:pPr>
    </w:p>
    <w:p>
      <w:pPr>
        <w:sectPr>
          <w:pgSz w:w="12240" w:h="15840" w:orient="portrait"/>
          <w:cols w:equalWidth="0" w:num="2">
            <w:col w:w="5460" w:space="140"/>
            <w:col w:w="3760"/>
          </w:cols>
          <w:pgMar w:left="1440" w:top="97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9360"/>
          </w:cols>
          <w:pgMar w:left="1440" w:top="975" w:right="1440" w:bottom="348" w:gutter="0" w:footer="0" w:header="0"/>
          <w:type w:val="continuous"/>
        </w:sectPr>
      </w:pPr>
    </w:p>
    <w:bookmarkStart w:id="147" w:name="page148"/>
    <w:bookmarkEnd w:id="147"/>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60" w:type="dxa"/>
            <w:vAlign w:val="bottom"/>
            <w:tcBorders>
              <w:bottom w:val="single" w:sz="8" w:color="auto"/>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4280" w:type="dxa"/>
            <w:vAlign w:val="bottom"/>
            <w:tcBorders>
              <w:bottom w:val="single" w:sz="8" w:color="auto"/>
            </w:tcBorders>
          </w:tcPr>
          <w:p>
            <w:pPr>
              <w:ind w:left="17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18"/>
                <w:szCs w:val="18"/>
                <w:color w:val="auto"/>
              </w:rPr>
            </w:pPr>
          </w:p>
        </w:tc>
      </w:tr>
      <w:tr>
        <w:trPr>
          <w:trHeight w:val="244"/>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45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Amendment #2 to the Investigator Sponsored</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Research Agreement, Amgen Protocol No.</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20119244, dated November 15, 2017, between</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Jasper Therapeutics, Inc., as successor in interest to</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Amgen Inc., and The Board of Trustees of the Leland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Stanford Junior University for Stanford University.</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Quality Agreement, dated October 7, 2015, by and</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between Jasper Therapeutics, Inc., as successor in</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interest to Amgen Inc., and The Board of Trustees of</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the Leland Stanford Junior University for Stanford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University.</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10.24^</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Exclusive License Agreement, effective as of</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March 25, 2021, by and between Jasper Therapeutics,</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w w:val="99"/>
              </w:rPr>
              <w:t>Inc. and The Board of Trustees of the Leland Stanford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Junior University.</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the Exclusive License</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Agreement, dated July 27, 2023, between Stanford</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University and Jasper Therapeutics, Inc.</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10.26^</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Sponsored Research Agreement, effective</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September 1, 2020, by and between Jasper</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Therapeutics, Inc. and The Board of Trustees of the</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Leland Stanford Junior University.</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Development and Manufacturing Services</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Agreement, dated November 29, 2019, by and</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between Jasper Therapeutics, Inc. and Lonza Sales</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AG.</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1 to Development and</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Manufacturing Services Agreement, executed</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April 24, 2020 by and between Jasper Therapeutics,</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Inc. and Lonza Sales AG.</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No. 2 to Development and</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Manufacturing Services Agreement, executed</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December 1, 2020, by and between Jasper</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Therapeutics, Inc. and Lonza Sales AG.</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180" w:type="dxa"/>
            <w:vAlign w:val="bottom"/>
          </w:tcPr>
          <w:p>
            <w:pPr>
              <w:spacing w:after="0"/>
              <w:rPr>
                <w:sz w:val="22"/>
                <w:szCs w:val="22"/>
                <w:color w:val="auto"/>
              </w:rPr>
            </w:pPr>
          </w:p>
        </w:tc>
        <w:tc>
          <w:tcPr>
            <w:tcW w:w="4340" w:type="dxa"/>
            <w:vAlign w:val="bottom"/>
            <w:gridSpan w:val="2"/>
          </w:tcPr>
          <w:p>
            <w:pPr>
              <w:spacing w:after="0" w:line="257" w:lineRule="exact"/>
              <w:rPr>
                <w:sz w:val="20"/>
                <w:szCs w:val="20"/>
                <w:color w:val="auto"/>
              </w:rPr>
            </w:pPr>
            <w:r>
              <w:rPr>
                <w:rFonts w:ascii="Times New Roman" w:cs="Times New Roman" w:eastAsia="Times New Roman" w:hAnsi="Times New Roman"/>
                <w:sz w:val="20"/>
                <w:szCs w:val="20"/>
                <w:color w:val="auto"/>
              </w:rPr>
              <w:t>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20"/>
                <w:szCs w:val="20"/>
                <w:color w:val="auto"/>
              </w:rPr>
              <w:t>, dated as of</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March 19, 2025, by and between Jasper Therapeutics,</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Inc. and Jefferies LLC.</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Jasper Therapeutics, Inc. Insider Trading Policy.</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List of Subsidiaries of the Registrant.</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Consent of Independent Registered Public Accounting</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Firm.</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the Principal Executive Officer</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pursuant to Rule 13a-14(a) or 15d-14(a) of the</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Securities Exchange Act of 1934.</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the Principal Financial Officer</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pursuant to Rule 13a-14(a) or 15d-14(a) of the</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Securities Exchange Act of 1934.</w:t>
            </w: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Certification of the Principal Executive Officer</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and Principal Financial Officer pursuant to 18</w:t>
            </w: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auto"/>
              </w:rPr>
              <w:t>U.S.C. Section 1350, as adopted pursuant to</w:t>
            </w: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340" w:type="dxa"/>
            <w:vAlign w:val="bottom"/>
            <w:gridSpan w:val="2"/>
          </w:tcPr>
          <w:p>
            <w:pPr>
              <w:spacing w:after="0" w:line="223" w:lineRule="exact"/>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260"/>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180" w:type="dxa"/>
            <w:vAlign w:val="bottom"/>
          </w:tcPr>
          <w:p>
            <w:pPr>
              <w:spacing w:after="0"/>
              <w:rPr>
                <w:sz w:val="22"/>
                <w:szCs w:val="22"/>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Jasper Therapeutics, Inc. Clawback Policy</w:t>
            </w:r>
          </w:p>
        </w:tc>
      </w:tr>
    </w:tbl>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14605</wp:posOffset>
                </wp:positionV>
                <wp:extent cx="23114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pt" to="182pt,1.15pt" o:allowincell="f" strokecolor="#000000" strokeweight="0.5pt"/>
            </w:pict>
          </mc:Fallback>
        </mc:AlternateContent>
      </w: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0"/>
        </w:trPr>
        <w:tc>
          <w:tcPr>
            <w:tcW w:w="520" w:type="dxa"/>
            <w:vAlign w:val="bottom"/>
            <w:tcBorders>
              <w:bottom w:val="single" w:sz="8" w:color="auto"/>
            </w:tcBorders>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Form</w:t>
            </w:r>
          </w:p>
        </w:tc>
        <w:tc>
          <w:tcPr>
            <w:tcW w:w="180" w:type="dxa"/>
            <w:vAlign w:val="bottom"/>
          </w:tcPr>
          <w:p>
            <w:pPr>
              <w:spacing w:after="0"/>
              <w:rPr>
                <w:sz w:val="18"/>
                <w:szCs w:val="18"/>
                <w:color w:val="auto"/>
              </w:rPr>
            </w:pPr>
          </w:p>
        </w:tc>
        <w:tc>
          <w:tcPr>
            <w:tcW w:w="10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180" w:type="dxa"/>
            <w:vAlign w:val="bottom"/>
          </w:tcPr>
          <w:p>
            <w:pPr>
              <w:spacing w:after="0"/>
              <w:rPr>
                <w:sz w:val="18"/>
                <w:szCs w:val="18"/>
                <w:color w:val="auto"/>
              </w:rPr>
            </w:pPr>
          </w:p>
        </w:tc>
        <w:tc>
          <w:tcPr>
            <w:tcW w:w="620" w:type="dxa"/>
            <w:vAlign w:val="bottom"/>
            <w:tcBorders>
              <w:bottom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r>
      <w:tr>
        <w:trPr>
          <w:trHeight w:val="247"/>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10.17</w:t>
            </w:r>
          </w:p>
        </w:tc>
      </w:tr>
      <w:tr>
        <w:trPr>
          <w:trHeight w:val="136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10.18</w:t>
            </w:r>
          </w:p>
        </w:tc>
      </w:tr>
      <w:tr>
        <w:trPr>
          <w:trHeight w:val="1140"/>
        </w:trPr>
        <w:tc>
          <w:tcPr>
            <w:tcW w:w="17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S-4/A   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10.19</w:t>
            </w:r>
          </w:p>
        </w:tc>
      </w:tr>
      <w:tr>
        <w:trPr>
          <w:trHeight w:val="92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10-Q</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8/11/2023</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10.2</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8"/>
              </w:rPr>
              <w:t>8/9/2021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10.20</w:t>
            </w:r>
          </w:p>
        </w:tc>
      </w:tr>
      <w:tr>
        <w:trPr>
          <w:trHeight w:val="92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8/20/2021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10.25</w:t>
            </w:r>
          </w:p>
        </w:tc>
      </w:tr>
      <w:tr>
        <w:trPr>
          <w:trHeight w:val="92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8/20/2021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10.26</w:t>
            </w:r>
          </w:p>
        </w:tc>
      </w:tr>
      <w:tr>
        <w:trPr>
          <w:trHeight w:val="92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S-4/A</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333-256875</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8/20/2021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7"/>
              </w:rPr>
              <w:t>10.27</w:t>
            </w:r>
          </w:p>
        </w:tc>
      </w:tr>
      <w:tr>
        <w:trPr>
          <w:trHeight w:val="92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3"/>
              </w:rPr>
              <w:t>S-3</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333-285914</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3/19/2025</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w w:val="95"/>
              </w:rPr>
              <w:t>1.2</w:t>
            </w:r>
          </w:p>
        </w:tc>
      </w:tr>
      <w:tr>
        <w:trPr>
          <w:trHeight w:val="70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rPr>
              <w:t>10-K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2/28/2025</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19.1</w:t>
            </w:r>
          </w:p>
        </w:tc>
      </w:tr>
      <w:tr>
        <w:trPr>
          <w:trHeight w:val="260"/>
        </w:trPr>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6"/>
              </w:rPr>
              <w:t>8-K</w:t>
            </w:r>
          </w:p>
        </w:tc>
        <w:tc>
          <w:tcPr>
            <w:tcW w:w="1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001-39138</w:t>
            </w:r>
          </w:p>
        </w:tc>
        <w:tc>
          <w:tcPr>
            <w:tcW w:w="11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9/29/2021</w:t>
            </w:r>
          </w:p>
        </w:tc>
        <w:tc>
          <w:tcPr>
            <w:tcW w:w="800" w:type="dxa"/>
            <w:vAlign w:val="bottom"/>
            <w:gridSpan w:val="2"/>
          </w:tcPr>
          <w:p>
            <w:pPr>
              <w:jc w:val="center"/>
              <w:ind w:left="140"/>
              <w:spacing w:after="0"/>
              <w:rPr>
                <w:sz w:val="20"/>
                <w:szCs w:val="20"/>
                <w:color w:val="auto"/>
              </w:rPr>
            </w:pPr>
            <w:r>
              <w:rPr>
                <w:rFonts w:ascii="Times New Roman" w:cs="Times New Roman" w:eastAsia="Times New Roman" w:hAnsi="Times New Roman"/>
                <w:sz w:val="20"/>
                <w:szCs w:val="20"/>
                <w:color w:val="auto"/>
              </w:rPr>
              <w:t>21.1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0"/>
        <w:spacing w:after="0"/>
        <w:tabs>
          <w:tab w:leader="none" w:pos="800" w:val="left"/>
          <w:tab w:leader="none" w:pos="2040" w:val="left"/>
          <w:tab w:leader="none" w:pos="324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001-39138</w:t>
      </w:r>
      <w:r>
        <w:rPr>
          <w:sz w:val="20"/>
          <w:szCs w:val="20"/>
          <w:color w:val="auto"/>
        </w:rPr>
        <w:tab/>
      </w:r>
      <w:r>
        <w:rPr>
          <w:rFonts w:ascii="Times New Roman" w:cs="Times New Roman" w:eastAsia="Times New Roman" w:hAnsi="Times New Roman"/>
          <w:sz w:val="20"/>
          <w:szCs w:val="20"/>
          <w:color w:val="auto"/>
        </w:rPr>
        <w:t>3/5/2024</w:t>
      </w:r>
      <w:r>
        <w:rPr>
          <w:sz w:val="20"/>
          <w:szCs w:val="20"/>
          <w:color w:val="auto"/>
        </w:rPr>
        <w:tab/>
      </w:r>
      <w:r>
        <w:rPr>
          <w:rFonts w:ascii="Times New Roman" w:cs="Times New Roman" w:eastAsia="Times New Roman" w:hAnsi="Times New Roman"/>
          <w:sz w:val="20"/>
          <w:szCs w:val="20"/>
          <w:color w:val="auto"/>
        </w:rPr>
        <w:t>97</w:t>
      </w:r>
    </w:p>
    <w:p>
      <w:pPr>
        <w:spacing w:after="0" w:line="200" w:lineRule="exact"/>
        <w:rPr>
          <w:sz w:val="20"/>
          <w:szCs w:val="20"/>
          <w:color w:val="auto"/>
        </w:rPr>
      </w:pPr>
    </w:p>
    <w:p>
      <w:pPr>
        <w:sectPr>
          <w:pgSz w:w="12240" w:h="15840" w:orient="portrait"/>
          <w:cols w:equalWidth="0" w:num="2">
            <w:col w:w="5480" w:space="120"/>
            <w:col w:w="3760"/>
          </w:cols>
          <w:pgMar w:left="1440" w:top="97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9360"/>
          </w:cols>
          <w:pgMar w:left="1440" w:top="975" w:right="1440" w:bottom="348"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15"/>
        </w:trPr>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620" w:type="dxa"/>
            <w:vAlign w:val="bottom"/>
            <w:tcBorders>
              <w:bottom w:val="single" w:sz="8" w:color="auto"/>
            </w:tcBorders>
          </w:tcPr>
          <w:p>
            <w:pPr>
              <w:spacing w:after="0"/>
              <w:rPr>
                <w:sz w:val="18"/>
                <w:szCs w:val="18"/>
                <w:color w:val="auto"/>
              </w:rPr>
            </w:pPr>
          </w:p>
        </w:tc>
      </w:tr>
      <w:tr>
        <w:trPr>
          <w:trHeight w:val="197"/>
        </w:trPr>
        <w:tc>
          <w:tcPr>
            <w:tcW w:w="960" w:type="dxa"/>
            <w:vAlign w:val="bottom"/>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b w:val="1"/>
                <w:bCs w:val="1"/>
                <w:color w:val="auto"/>
                <w:w w:val="96"/>
              </w:rPr>
              <w:t>File</w:t>
            </w:r>
          </w:p>
        </w:tc>
        <w:tc>
          <w:tcPr>
            <w:tcW w:w="180" w:type="dxa"/>
            <w:vAlign w:val="bottom"/>
          </w:tcPr>
          <w:p>
            <w:pPr>
              <w:spacing w:after="0"/>
              <w:rPr>
                <w:sz w:val="17"/>
                <w:szCs w:val="17"/>
                <w:color w:val="auto"/>
              </w:rPr>
            </w:pPr>
          </w:p>
        </w:tc>
        <w:tc>
          <w:tcPr>
            <w:tcW w:w="1100" w:type="dxa"/>
            <w:vAlign w:val="bottom"/>
            <w:gridSpan w:val="2"/>
          </w:tcPr>
          <w:p>
            <w:pPr>
              <w:jc w:val="center"/>
              <w:ind w:right="180"/>
              <w:spacing w:after="0" w:line="197"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620" w:type="dxa"/>
            <w:vAlign w:val="bottom"/>
          </w:tcPr>
          <w:p>
            <w:pPr>
              <w:spacing w:after="0"/>
              <w:rPr>
                <w:sz w:val="17"/>
                <w:szCs w:val="17"/>
                <w:color w:val="auto"/>
              </w:rPr>
            </w:pPr>
          </w:p>
        </w:tc>
      </w:tr>
      <w:tr>
        <w:trPr>
          <w:trHeight w:val="210"/>
        </w:trPr>
        <w:tc>
          <w:tcPr>
            <w:tcW w:w="96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4280" w:type="dxa"/>
            <w:vAlign w:val="bottom"/>
          </w:tcPr>
          <w:p>
            <w:pPr>
              <w:ind w:left="1700"/>
              <w:spacing w:after="0" w:line="201"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18"/>
                <w:szCs w:val="18"/>
                <w:color w:val="auto"/>
              </w:rPr>
            </w:pPr>
          </w:p>
        </w:tc>
        <w:tc>
          <w:tcPr>
            <w:tcW w:w="520" w:type="dxa"/>
            <w:vAlign w:val="bottom"/>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Form</w:t>
            </w:r>
          </w:p>
        </w:tc>
        <w:tc>
          <w:tcPr>
            <w:tcW w:w="180" w:type="dxa"/>
            <w:vAlign w:val="bottom"/>
          </w:tcPr>
          <w:p>
            <w:pPr>
              <w:spacing w:after="0"/>
              <w:rPr>
                <w:sz w:val="18"/>
                <w:szCs w:val="18"/>
                <w:color w:val="auto"/>
              </w:rPr>
            </w:pPr>
          </w:p>
        </w:tc>
        <w:tc>
          <w:tcPr>
            <w:tcW w:w="10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80" w:type="dxa"/>
            <w:vAlign w:val="bottom"/>
          </w:tcPr>
          <w:p>
            <w:pPr>
              <w:spacing w:after="0"/>
              <w:rPr>
                <w:sz w:val="18"/>
                <w:szCs w:val="18"/>
                <w:color w:val="auto"/>
              </w:rPr>
            </w:pPr>
          </w:p>
        </w:tc>
        <w:tc>
          <w:tcPr>
            <w:tcW w:w="110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6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r>
      <w:tr>
        <w:trPr>
          <w:trHeight w:val="244"/>
        </w:trPr>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101.INS*</w:t>
            </w:r>
          </w:p>
        </w:tc>
        <w:tc>
          <w:tcPr>
            <w:tcW w:w="180" w:type="dxa"/>
            <w:vAlign w:val="bottom"/>
          </w:tcPr>
          <w:p>
            <w:pPr>
              <w:spacing w:after="0"/>
              <w:rPr>
                <w:sz w:val="21"/>
                <w:szCs w:val="21"/>
                <w:color w:val="auto"/>
              </w:rPr>
            </w:pPr>
          </w:p>
        </w:tc>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Inline XBRL Instance Document — the instance</w:t>
            </w:r>
          </w:p>
        </w:tc>
        <w:tc>
          <w:tcPr>
            <w:tcW w:w="1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document does not appear in the Interactive Data</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0"/>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File because its XBRL tags are embedded within the</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Inline XBRL document.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Schema</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Document.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Linkbase Document.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Definition</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Linkbase Document.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Document.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Linkbase Document.</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7"/>
        </w:trPr>
        <w:tc>
          <w:tcPr>
            <w:tcW w:w="9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23"/>
        </w:trPr>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XBRL and contained in Exhibit 101).</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67945</wp:posOffset>
                </wp:positionV>
                <wp:extent cx="55880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5pt" to="44pt,5.35pt" o:allowincell="f" strokecolor="#000000" strokeweight="0.5pt"/>
            </w:pict>
          </mc:Fallback>
        </mc:AlternateContent>
      </w:r>
    </w:p>
    <w:p>
      <w:pPr>
        <w:spacing w:after="0" w:line="167" w:lineRule="exact"/>
        <w:rPr>
          <w:sz w:val="20"/>
          <w:szCs w:val="20"/>
          <w:color w:val="auto"/>
        </w:rPr>
      </w:pPr>
    </w:p>
    <w:p>
      <w:pPr>
        <w:ind w:left="480" w:hanging="480"/>
        <w:spacing w:after="0"/>
        <w:tabs>
          <w:tab w:leader="none" w:pos="4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annexes, schedules, and certain exhibits to the Business Combination Agreement have been omitted pursuant to</w:t>
      </w:r>
    </w:p>
    <w:p>
      <w:pPr>
        <w:spacing w:after="0" w:line="21" w:lineRule="exact"/>
        <w:rPr>
          <w:sz w:val="20"/>
          <w:szCs w:val="20"/>
          <w:color w:val="auto"/>
        </w:rPr>
      </w:pPr>
    </w:p>
    <w:p>
      <w:pPr>
        <w:ind w:left="480" w:right="260"/>
        <w:spacing w:after="0" w:line="245" w:lineRule="auto"/>
        <w:rPr>
          <w:sz w:val="20"/>
          <w:szCs w:val="20"/>
          <w:color w:val="auto"/>
        </w:rPr>
      </w:pPr>
      <w:r>
        <w:rPr>
          <w:rFonts w:ascii="Times New Roman" w:cs="Times New Roman" w:eastAsia="Times New Roman" w:hAnsi="Times New Roman"/>
          <w:sz w:val="18"/>
          <w:szCs w:val="18"/>
          <w:color w:val="auto"/>
        </w:rPr>
        <w:t>Item 601(b)(2) of Regulation S-K. The Registrant hereby agrees to furnish supplementally a copy of any omitted annex, schedule or exhibit to the SEC upon request.</w:t>
      </w:r>
    </w:p>
    <w:p>
      <w:pPr>
        <w:spacing w:after="0" w:line="9" w:lineRule="exact"/>
        <w:rPr>
          <w:sz w:val="20"/>
          <w:szCs w:val="20"/>
          <w:color w:val="auto"/>
        </w:rPr>
      </w:pPr>
    </w:p>
    <w:p>
      <w:pPr>
        <w:ind w:left="480" w:hanging="480"/>
        <w:spacing w:after="0"/>
        <w:tabs>
          <w:tab w:leader="none" w:pos="4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1" w:lineRule="exact"/>
        <w:rPr>
          <w:sz w:val="20"/>
          <w:szCs w:val="20"/>
          <w:color w:val="auto"/>
        </w:rPr>
      </w:pPr>
    </w:p>
    <w:p>
      <w:pPr>
        <w:ind w:left="480" w:right="140" w:hanging="480"/>
        <w:spacing w:after="0" w:line="245" w:lineRule="auto"/>
        <w:tabs>
          <w:tab w:leader="none" w:pos="4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omitted pursuant to Item 601(b)(10) of Regulation S-K because such information is both (i) not material and (ii) of the type that the Registrant treats as private or confidential. The Registrant hereby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undertakes to furnish supplemental copies of the unredacted exhibit upon request by the SEC.</w:t>
      </w:r>
    </w:p>
    <w:p>
      <w:pPr>
        <w:spacing w:after="0" w:line="13" w:lineRule="exact"/>
        <w:rPr>
          <w:sz w:val="20"/>
          <w:szCs w:val="20"/>
          <w:color w:val="auto"/>
        </w:rPr>
      </w:pPr>
    </w:p>
    <w:p>
      <w:pPr>
        <w:ind w:left="480" w:hanging="480"/>
        <w:spacing w:after="0"/>
        <w:tabs>
          <w:tab w:leader="none" w:pos="4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 w:lineRule="exact"/>
        <w:rPr>
          <w:sz w:val="20"/>
          <w:szCs w:val="20"/>
          <w:color w:val="auto"/>
        </w:rPr>
      </w:pPr>
    </w:p>
    <w:p>
      <w:pPr>
        <w:ind w:left="480" w:hanging="480"/>
        <w:spacing w:after="0"/>
        <w:tabs>
          <w:tab w:leader="none" w:pos="4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360"/>
          </w:cols>
          <w:pgMar w:left="1440" w:top="975"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9360"/>
          </w:cols>
          <w:pgMar w:left="1440" w:top="975" w:right="1440" w:bottom="348"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7" w:lineRule="exact"/>
        <w:rPr>
          <w:sz w:val="20"/>
          <w:szCs w:val="20"/>
          <w:color w:val="auto"/>
        </w:rPr>
      </w:pPr>
    </w:p>
    <w:p>
      <w:pPr>
        <w:ind w:right="120"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6"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20"/>
          <w:szCs w:val="20"/>
          <w:color w:val="auto"/>
        </w:rPr>
        <w:t>Date: March 30, 2026</w:t>
      </w:r>
      <w:r>
        <w:rPr>
          <w:sz w:val="20"/>
          <w:szCs w:val="20"/>
          <w:color w:val="auto"/>
        </w:rPr>
        <w:tab/>
      </w:r>
      <w:r>
        <w:rPr>
          <w:rFonts w:ascii="Times New Roman" w:cs="Times New Roman" w:eastAsia="Times New Roman" w:hAnsi="Times New Roman"/>
          <w:sz w:val="19"/>
          <w:szCs w:val="19"/>
          <w:b w:val="1"/>
          <w:bCs w:val="1"/>
          <w:color w:val="auto"/>
        </w:rPr>
        <w:t>JASPER THERAPEUTICS, INC.</w:t>
      </w:r>
    </w:p>
    <w:p>
      <w:pPr>
        <w:spacing w:after="0" w:line="1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color w:val="auto"/>
        </w:rPr>
        <w:t>By:  /s/ Jeet Mahal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3536950</wp:posOffset>
                </wp:positionH>
                <wp:positionV relativeFrom="paragraph">
                  <wp:posOffset>3810</wp:posOffset>
                </wp:positionV>
                <wp:extent cx="233045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045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5pt,0.3pt" to="462pt,0.3pt" o:allowincell="f" strokecolor="#000000" strokeweight="0.5pt"/>
            </w:pict>
          </mc:Fallback>
        </mc:AlternateContent>
      </w:r>
    </w:p>
    <w:p>
      <w:pPr>
        <w:spacing w:after="0" w:line="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Jeet Mahal</w:t>
      </w:r>
    </w:p>
    <w:p>
      <w:pPr>
        <w:ind w:left="5580"/>
        <w:spacing w:after="0" w:line="229" w:lineRule="auto"/>
        <w:rPr>
          <w:sz w:val="20"/>
          <w:szCs w:val="20"/>
          <w:color w:val="auto"/>
        </w:rPr>
      </w:pPr>
      <w:r>
        <w:rPr>
          <w:rFonts w:ascii="Times New Roman" w:cs="Times New Roman" w:eastAsia="Times New Roman" w:hAnsi="Times New Roman"/>
          <w:sz w:val="20"/>
          <w:szCs w:val="20"/>
          <w:color w:val="auto"/>
        </w:rPr>
        <w:t>Chief Executive Officer</w:t>
      </w:r>
    </w:p>
    <w:p>
      <w:pPr>
        <w:spacing w:after="0" w:line="157" w:lineRule="exact"/>
        <w:rPr>
          <w:sz w:val="20"/>
          <w:szCs w:val="20"/>
          <w:color w:val="auto"/>
        </w:rPr>
      </w:pPr>
    </w:p>
    <w:p>
      <w:pPr>
        <w:ind w:right="100" w:firstLine="480"/>
        <w:spacing w:after="0" w:line="24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spacing w:after="0"/>
              <w:rPr>
                <w:sz w:val="18"/>
                <w:szCs w:val="18"/>
                <w:color w:val="auto"/>
              </w:rPr>
            </w:pPr>
          </w:p>
        </w:tc>
        <w:tc>
          <w:tcPr>
            <w:tcW w:w="39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spacing w:after="0"/>
              <w:rPr>
                <w:sz w:val="18"/>
                <w:szCs w:val="18"/>
                <w:color w:val="auto"/>
              </w:rPr>
            </w:pPr>
          </w:p>
        </w:tc>
        <w:tc>
          <w:tcPr>
            <w:tcW w:w="1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88"/>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Jeet Mahal</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President, Chief Executive Officer and 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30,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Jeet Mahal</w:t>
            </w:r>
          </w:p>
        </w:tc>
        <w:tc>
          <w:tcPr>
            <w:tcW w:w="18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Herb Cross</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30,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Herb Cross</w:t>
            </w:r>
          </w:p>
        </w:tc>
        <w:tc>
          <w:tcPr>
            <w:tcW w:w="18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Accounting and Financial Officer)</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Thomas G. Wiggans</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Chairperson of the Board</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30,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Thomas G. Wiggans</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Scott Brun, M.D.</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30,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Scott Brun, M.D.</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Vishal Kapoor</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30,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Vishal Kapoor</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Svetlana Lucas, Ph.D.</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30,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Svetlana Lucas, Ph.D.</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Christian W. Nolet</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30,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Christian W. Nolet</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Judith Shizuru, M.D., Ph.D.</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30,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Judith Shizuru, M.D., Ph.D.</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0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Kurt von Emster</w:t>
            </w:r>
          </w:p>
        </w:tc>
        <w:tc>
          <w:tcPr>
            <w:tcW w:w="1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80" w:type="dxa"/>
            <w:vAlign w:val="bottom"/>
          </w:tcPr>
          <w:p>
            <w:pPr>
              <w:spacing w:after="0"/>
              <w:rPr>
                <w:sz w:val="24"/>
                <w:szCs w:val="24"/>
                <w:color w:val="auto"/>
              </w:rPr>
            </w:pPr>
          </w:p>
        </w:tc>
        <w:tc>
          <w:tcPr>
            <w:tcW w:w="19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March 30, 2026</w:t>
            </w:r>
          </w:p>
        </w:tc>
      </w:tr>
      <w:tr>
        <w:trPr>
          <w:trHeight w:val="23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Kurt von Emster</w:t>
            </w: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r>
    </w:tbl>
    <w:p>
      <w:pPr>
        <w:spacing w:after="0" w:line="200" w:lineRule="exact"/>
        <w:rPr>
          <w:sz w:val="20"/>
          <w:szCs w:val="20"/>
          <w:color w:val="auto"/>
        </w:rPr>
      </w:pPr>
    </w:p>
    <w:p>
      <w:pPr>
        <w:sectPr>
          <w:pgSz w:w="12240" w:h="15840" w:orient="portrait"/>
          <w:cols w:equalWidth="0" w:num="1">
            <w:col w:w="9360"/>
          </w:cols>
          <w:pgMar w:left="1440" w:top="941" w:right="1440" w:bottom="3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sectPr>
      <w:pgSz w:w="12240" w:h="15840" w:orient="portrait"/>
      <w:cols w:equalWidth="0" w:num="1">
        <w:col w:w="9360"/>
      </w:cols>
      <w:pgMar w:left="1440" w:top="941" w:right="1440" w:bottom="3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"/>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
      <w:numFmt w:val="bullet"/>
      <w:start w:val="1"/>
    </w:lvl>
    <w:lvl w:ilvl="1">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lvl w:ilvl="1">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decimal"/>
      <w:start w:val="60"/>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1)"/>
      <w:numFmt w:val="lowerRoman"/>
      <w:start w:val="1"/>
    </w:lvl>
  </w:abstractNum>
  <w:abstractNum w:abstractNumId="29">
    <w:nsid w:val="39386575"/>
    <w:multiLevelType w:val="hybridMultilevel"/>
    <w:lvl w:ilvl="0">
      <w:lvlJc w:val="left"/>
      <w:lvlText w:val="•"/>
      <w:numFmt w:val="bullet"/>
      <w:start w:val="1"/>
    </w:lvl>
    <w:lvl w:ilvl="1">
      <w:lvlJc w:val="left"/>
      <w:lvlText w:val="•"/>
      <w:numFmt w:val="bullet"/>
      <w:start w:val="1"/>
    </w:lvl>
  </w:abstractNum>
  <w:abstractNum w:abstractNumId="30">
    <w:nsid w:val="1CF10FD8"/>
    <w:multiLevelType w:val="hybridMultilevel"/>
    <w:lvl w:ilvl="0">
      <w:lvlJc w:val="left"/>
      <w:lvlText w:val="•"/>
      <w:numFmt w:val="bullet"/>
      <w:start w:val="1"/>
    </w:lvl>
    <w:lvl w:ilvl="1">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1)"/>
      <w:numFmt w:val="lowerRoman"/>
      <w:start w:val="4"/>
    </w:lvl>
  </w:abstractNum>
  <w:abstractNum w:abstractNumId="63">
    <w:nsid w:val="661E3F1E"/>
    <w:multiLevelType w:val="hybridMultilevel"/>
    <w:lvl w:ilvl="0">
      <w:lvlJc w:val="left"/>
      <w:lvlText w:val="•"/>
      <w:numFmt w:val="bullet"/>
      <w:start w:val="1"/>
    </w:lvl>
    <w:lvl w:ilvl="1">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lvl w:ilvl="1">
      <w:lvlJc w:val="left"/>
      <w:lvlText w:val="•"/>
      <w:numFmt w:val="bullet"/>
      <w:start w:val="1"/>
    </w:lvl>
  </w:abstractNum>
  <w:abstractNum w:abstractNumId="66">
    <w:nsid w:val="7BD3EE7B"/>
    <w:multiLevelType w:val="hybridMultilevel"/>
    <w:lvl w:ilvl="0">
      <w:lvlJc w:val="left"/>
      <w:lvlText w:val="•"/>
      <w:numFmt w:val="bullet"/>
      <w:start w:val="1"/>
    </w:lvl>
    <w:lvl w:ilvl="1">
      <w:lvlJc w:val="left"/>
      <w:lvlText w:val="•"/>
      <w:numFmt w:val="bullet"/>
      <w:start w:val="1"/>
    </w:lvl>
  </w:abstractNum>
  <w:abstractNum w:abstractNumId="67">
    <w:nsid w:val="51D9C564"/>
    <w:multiLevelType w:val="hybridMultilevel"/>
    <w:lvl w:ilvl="0">
      <w:lvlJc w:val="left"/>
      <w:lvlText w:val="•"/>
      <w:numFmt w:val="bullet"/>
      <w:start w:val="1"/>
    </w:lvl>
    <w:lvl w:ilvl="1">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lowerRoman"/>
      <w:start w:val="2"/>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105"/>
    </w:lvl>
    <w:lvl w:ilvl="1">
      <w:lvlJc w:val="left"/>
      <w:lvlText w:val="%2"/>
      <w:numFmt w:val="decimal"/>
      <w:start w:val="1"/>
    </w:lvl>
  </w:abstractNum>
  <w:abstractNum w:abstractNumId="77">
    <w:nsid w:val="4962813B"/>
    <w:multiLevelType w:val="hybridMultilevel"/>
    <w:lvl w:ilvl="0">
      <w:lvlJc w:val="left"/>
      <w:lvlText w:val="(%1)"/>
      <w:numFmt w:val="decimal"/>
      <w:start w:val="105"/>
    </w:lvl>
    <w:lvl w:ilvl="1">
      <w:lvlJc w:val="left"/>
      <w:lvlText w:val="%2"/>
      <w:numFmt w:val="decimal"/>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2026-06-15T15:07:29Z</dcterms:created>
  <dcterms:modified xsi:type="dcterms:W3CDTF">2026-06-15T15:07:29Z</dcterms:modified>
</cp:coreProperties>
</file>